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eastAsia="隶书"/>
          <w:b/>
          <w:color w:val="000000"/>
          <w:sz w:val="48"/>
          <w:szCs w:val="48"/>
        </w:rPr>
      </w:pPr>
    </w:p>
    <w:p>
      <w:pPr>
        <w:adjustRightInd w:val="0"/>
        <w:snapToGrid w:val="0"/>
        <w:spacing w:line="360" w:lineRule="auto"/>
        <w:jc w:val="center"/>
        <w:rPr>
          <w:rFonts w:eastAsia="隶书"/>
          <w:b/>
          <w:color w:val="000000"/>
          <w:sz w:val="48"/>
          <w:szCs w:val="48"/>
        </w:rPr>
      </w:pPr>
      <w:r>
        <w:rPr>
          <w:rFonts w:hint="eastAsia" w:eastAsia="隶书"/>
          <w:b/>
          <w:color w:val="000000"/>
          <w:sz w:val="48"/>
          <w:szCs w:val="48"/>
        </w:rPr>
        <w:drawing>
          <wp:inline distT="0" distB="0" distL="114300" distR="114300">
            <wp:extent cx="1304290" cy="1151255"/>
            <wp:effectExtent l="0" t="0" r="635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8"/>
                    <a:stretch>
                      <a:fillRect/>
                    </a:stretch>
                  </pic:blipFill>
                  <pic:spPr>
                    <a:xfrm>
                      <a:off x="0" y="0"/>
                      <a:ext cx="1304290" cy="1151255"/>
                    </a:xfrm>
                    <a:prstGeom prst="rect">
                      <a:avLst/>
                    </a:prstGeom>
                  </pic:spPr>
                </pic:pic>
              </a:graphicData>
            </a:graphic>
          </wp:inline>
        </w:drawing>
      </w:r>
    </w:p>
    <w:p>
      <w:pPr>
        <w:adjustRightInd w:val="0"/>
        <w:snapToGrid w:val="0"/>
        <w:spacing w:line="360" w:lineRule="auto"/>
        <w:jc w:val="center"/>
        <w:rPr>
          <w:rFonts w:eastAsia="隶书"/>
          <w:b/>
          <w:color w:val="000000"/>
          <w:sz w:val="48"/>
          <w:szCs w:val="48"/>
        </w:rPr>
      </w:pPr>
    </w:p>
    <w:p>
      <w:pPr>
        <w:adjustRightInd w:val="0"/>
        <w:snapToGrid w:val="0"/>
        <w:spacing w:line="360" w:lineRule="auto"/>
        <w:jc w:val="center"/>
        <w:rPr>
          <w:rFonts w:ascii="黑体" w:eastAsia="黑体"/>
          <w:b/>
          <w:color w:val="000000"/>
          <w:sz w:val="72"/>
          <w:szCs w:val="72"/>
        </w:rPr>
      </w:pPr>
      <w:r>
        <w:rPr>
          <w:rFonts w:hint="eastAsia" w:ascii="黑体" w:eastAsia="黑体"/>
          <w:b/>
          <w:color w:val="000000"/>
          <w:sz w:val="72"/>
          <w:szCs w:val="72"/>
        </w:rPr>
        <w:t>企业引入上市中介服务机构（律师事务所）项目</w:t>
      </w:r>
    </w:p>
    <w:p>
      <w:pPr>
        <w:adjustRightInd w:val="0"/>
        <w:snapToGrid w:val="0"/>
        <w:spacing w:line="360" w:lineRule="auto"/>
        <w:jc w:val="center"/>
        <w:rPr>
          <w:rFonts w:ascii="黑体" w:eastAsia="黑体"/>
          <w:b/>
          <w:color w:val="000000"/>
          <w:sz w:val="72"/>
          <w:szCs w:val="72"/>
        </w:rPr>
      </w:pPr>
      <w:r>
        <w:rPr>
          <w:rFonts w:hint="eastAsia" w:ascii="黑体" w:eastAsia="黑体"/>
          <w:b/>
          <w:color w:val="000000"/>
          <w:sz w:val="72"/>
          <w:szCs w:val="72"/>
        </w:rPr>
        <w:t>竞争性磋商文件</w:t>
      </w:r>
    </w:p>
    <w:p>
      <w:pPr>
        <w:adjustRightInd w:val="0"/>
        <w:snapToGrid w:val="0"/>
        <w:spacing w:line="360" w:lineRule="auto"/>
        <w:jc w:val="center"/>
        <w:rPr>
          <w:rFonts w:eastAsia="隶书"/>
          <w:b/>
          <w:color w:val="000000"/>
          <w:sz w:val="48"/>
          <w:szCs w:val="48"/>
        </w:rPr>
      </w:pPr>
    </w:p>
    <w:p>
      <w:pPr>
        <w:adjustRightInd w:val="0"/>
        <w:snapToGrid w:val="0"/>
        <w:spacing w:line="360" w:lineRule="auto"/>
        <w:rPr>
          <w:b/>
          <w:color w:val="000000"/>
          <w:sz w:val="32"/>
          <w:szCs w:val="32"/>
        </w:rPr>
      </w:pPr>
    </w:p>
    <w:p>
      <w:pPr>
        <w:adjustRightInd w:val="0"/>
        <w:snapToGrid w:val="0"/>
        <w:spacing w:line="360" w:lineRule="auto"/>
        <w:rPr>
          <w:rFonts w:ascii="隶书" w:hAnsi="宋体" w:eastAsia="隶书"/>
          <w:b/>
          <w:color w:val="000000"/>
          <w:sz w:val="32"/>
          <w:szCs w:val="32"/>
        </w:rPr>
      </w:pPr>
    </w:p>
    <w:p>
      <w:pPr>
        <w:adjustRightInd w:val="0"/>
        <w:snapToGrid w:val="0"/>
        <w:spacing w:line="360" w:lineRule="auto"/>
        <w:rPr>
          <w:rFonts w:ascii="隶书" w:hAnsi="宋体" w:eastAsia="隶书"/>
          <w:b/>
          <w:color w:val="000000"/>
          <w:sz w:val="32"/>
          <w:szCs w:val="32"/>
        </w:rPr>
      </w:pPr>
    </w:p>
    <w:p>
      <w:pPr>
        <w:adjustRightInd w:val="0"/>
        <w:snapToGrid w:val="0"/>
        <w:spacing w:line="360" w:lineRule="auto"/>
        <w:rPr>
          <w:rFonts w:ascii="隶书" w:hAnsi="宋体" w:eastAsia="隶书"/>
          <w:b/>
          <w:color w:val="000000"/>
          <w:sz w:val="32"/>
          <w:szCs w:val="32"/>
        </w:rPr>
      </w:pPr>
    </w:p>
    <w:p>
      <w:pPr>
        <w:adjustRightInd w:val="0"/>
        <w:snapToGrid w:val="0"/>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采购人：北京市政路桥建材集团有限公司</w:t>
      </w:r>
    </w:p>
    <w:p>
      <w:pPr>
        <w:pStyle w:val="5"/>
        <w:adjustRightInd w:val="0"/>
        <w:snapToGrid w:val="0"/>
        <w:spacing w:line="360" w:lineRule="auto"/>
        <w:ind w:left="0" w:leftChars="0"/>
        <w:jc w:val="center"/>
        <w:rPr>
          <w:rFonts w:ascii="黑体" w:hAnsi="宋体" w:eastAsia="黑体"/>
          <w:b/>
          <w:color w:val="000000"/>
          <w:sz w:val="32"/>
          <w:szCs w:val="32"/>
        </w:rPr>
      </w:pPr>
      <w:r>
        <w:rPr>
          <w:rFonts w:hint="eastAsia" w:ascii="黑体" w:hAnsi="宋体" w:eastAsia="黑体"/>
          <w:b/>
          <w:color w:val="000000"/>
          <w:sz w:val="32"/>
          <w:szCs w:val="32"/>
        </w:rPr>
        <w:t>二○二一 年 七 月</w:t>
      </w:r>
    </w:p>
    <w:p>
      <w:pPr>
        <w:adjustRightInd w:val="0"/>
        <w:snapToGrid w:val="0"/>
        <w:spacing w:line="360" w:lineRule="auto"/>
        <w:jc w:val="center"/>
        <w:rPr>
          <w:rFonts w:ascii="宋体" w:hAnsi="宋体"/>
          <w:b/>
          <w:sz w:val="28"/>
          <w:szCs w:val="32"/>
        </w:rPr>
        <w:sectPr>
          <w:footerReference r:id="rId5" w:type="first"/>
          <w:footerReference r:id="rId3" w:type="default"/>
          <w:footerReference r:id="rId4" w:type="even"/>
          <w:pgSz w:w="11906" w:h="16838"/>
          <w:pgMar w:top="1418" w:right="1418" w:bottom="1418" w:left="1531" w:header="737" w:footer="794" w:gutter="0"/>
          <w:cols w:space="720" w:num="1"/>
          <w:titlePg/>
          <w:docGrid w:type="lines" w:linePitch="312" w:charSpace="0"/>
        </w:sectPr>
      </w:pPr>
    </w:p>
    <w:p>
      <w:pPr>
        <w:spacing w:line="360" w:lineRule="auto"/>
        <w:jc w:val="center"/>
      </w:pPr>
      <w:r>
        <w:rPr>
          <w:b/>
          <w:sz w:val="32"/>
          <w:szCs w:val="32"/>
        </w:rPr>
        <w:t xml:space="preserve">目 </w:t>
      </w:r>
      <w:r>
        <w:rPr>
          <w:rFonts w:hint="eastAsia"/>
          <w:b/>
          <w:sz w:val="32"/>
          <w:szCs w:val="32"/>
        </w:rPr>
        <w:t xml:space="preserve"> </w:t>
      </w:r>
      <w:r>
        <w:rPr>
          <w:b/>
          <w:sz w:val="32"/>
          <w:szCs w:val="32"/>
        </w:rPr>
        <w:t>录</w:t>
      </w:r>
    </w:p>
    <w:p>
      <w:pPr>
        <w:pStyle w:val="7"/>
        <w:tabs>
          <w:tab w:val="right" w:leader="dot" w:pos="8901"/>
        </w:tabs>
        <w:rPr>
          <w:sz w:val="24"/>
          <w:szCs w:val="24"/>
        </w:rPr>
      </w:pPr>
      <w:r>
        <w:rPr>
          <w:sz w:val="24"/>
          <w:szCs w:val="24"/>
        </w:rPr>
        <w:fldChar w:fldCharType="begin"/>
      </w:r>
      <w:r>
        <w:rPr>
          <w:sz w:val="24"/>
          <w:szCs w:val="24"/>
        </w:rPr>
        <w:instrText xml:space="preserve"> </w:instrText>
      </w:r>
      <w:r>
        <w:rPr>
          <w:rFonts w:hint="eastAsia"/>
          <w:sz w:val="24"/>
          <w:szCs w:val="24"/>
        </w:rPr>
        <w:instrText xml:space="preserve">TOC \o "1-2" \h \z \u</w:instrText>
      </w:r>
      <w:r>
        <w:rPr>
          <w:sz w:val="24"/>
          <w:szCs w:val="24"/>
        </w:rPr>
        <w:instrText xml:space="preserve"> </w:instrText>
      </w:r>
      <w:r>
        <w:rPr>
          <w:sz w:val="24"/>
          <w:szCs w:val="24"/>
        </w:rPr>
        <w:fldChar w:fldCharType="separate"/>
      </w:r>
      <w:r>
        <w:rPr>
          <w:sz w:val="24"/>
          <w:szCs w:val="24"/>
        </w:rPr>
        <w:fldChar w:fldCharType="begin"/>
      </w:r>
      <w:r>
        <w:rPr>
          <w:sz w:val="24"/>
          <w:szCs w:val="24"/>
        </w:rPr>
        <w:instrText xml:space="preserve"> HYPERLINK \l _Toc20008 </w:instrText>
      </w:r>
      <w:r>
        <w:rPr>
          <w:sz w:val="24"/>
          <w:szCs w:val="24"/>
        </w:rPr>
        <w:fldChar w:fldCharType="separate"/>
      </w:r>
      <w:r>
        <w:rPr>
          <w:rFonts w:hint="eastAsia" w:ascii="黑体" w:hAnsi="黑体" w:eastAsia="黑体" w:cs="黑体"/>
          <w:sz w:val="24"/>
          <w:szCs w:val="24"/>
        </w:rPr>
        <w:t>第一章  竞争性磋商公告</w:t>
      </w:r>
      <w:r>
        <w:rPr>
          <w:sz w:val="24"/>
          <w:szCs w:val="24"/>
        </w:rPr>
        <w:tab/>
      </w:r>
      <w:r>
        <w:rPr>
          <w:sz w:val="24"/>
          <w:szCs w:val="24"/>
        </w:rPr>
        <w:fldChar w:fldCharType="begin"/>
      </w:r>
      <w:r>
        <w:rPr>
          <w:sz w:val="24"/>
          <w:szCs w:val="24"/>
        </w:rPr>
        <w:instrText xml:space="preserve"> PAGEREF _Toc20008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_Toc17018 </w:instrText>
      </w:r>
      <w:r>
        <w:rPr>
          <w:sz w:val="24"/>
          <w:szCs w:val="24"/>
        </w:rPr>
        <w:fldChar w:fldCharType="separate"/>
      </w:r>
      <w:r>
        <w:rPr>
          <w:rFonts w:hint="eastAsia" w:ascii="黑体" w:hAnsi="黑体" w:eastAsia="黑体" w:cs="黑体"/>
          <w:sz w:val="24"/>
          <w:szCs w:val="24"/>
        </w:rPr>
        <w:t>一、项目基本情况</w:t>
      </w:r>
      <w:r>
        <w:rPr>
          <w:sz w:val="24"/>
          <w:szCs w:val="24"/>
        </w:rPr>
        <w:tab/>
      </w:r>
      <w:r>
        <w:rPr>
          <w:sz w:val="24"/>
          <w:szCs w:val="24"/>
        </w:rPr>
        <w:fldChar w:fldCharType="begin"/>
      </w:r>
      <w:r>
        <w:rPr>
          <w:sz w:val="24"/>
          <w:szCs w:val="24"/>
        </w:rPr>
        <w:instrText xml:space="preserve"> PAGEREF _Toc17018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_Toc5570 </w:instrText>
      </w:r>
      <w:r>
        <w:rPr>
          <w:sz w:val="24"/>
          <w:szCs w:val="24"/>
        </w:rPr>
        <w:fldChar w:fldCharType="separate"/>
      </w:r>
      <w:r>
        <w:rPr>
          <w:rFonts w:hint="eastAsia" w:ascii="黑体" w:hAnsi="黑体" w:eastAsia="黑体" w:cs="黑体"/>
          <w:sz w:val="24"/>
          <w:szCs w:val="24"/>
        </w:rPr>
        <w:t>二、供应商资格要求</w:t>
      </w:r>
      <w:r>
        <w:rPr>
          <w:sz w:val="24"/>
          <w:szCs w:val="24"/>
        </w:rPr>
        <w:tab/>
      </w:r>
      <w:r>
        <w:rPr>
          <w:sz w:val="24"/>
          <w:szCs w:val="24"/>
        </w:rPr>
        <w:fldChar w:fldCharType="begin"/>
      </w:r>
      <w:r>
        <w:rPr>
          <w:sz w:val="24"/>
          <w:szCs w:val="24"/>
        </w:rPr>
        <w:instrText xml:space="preserve"> PAGEREF _Toc5570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_Toc24923 </w:instrText>
      </w:r>
      <w:r>
        <w:rPr>
          <w:sz w:val="24"/>
          <w:szCs w:val="24"/>
        </w:rPr>
        <w:fldChar w:fldCharType="separate"/>
      </w:r>
      <w:r>
        <w:rPr>
          <w:rFonts w:hint="eastAsia" w:ascii="黑体" w:hAnsi="黑体" w:eastAsia="黑体" w:cs="黑体"/>
          <w:kern w:val="2"/>
          <w:sz w:val="24"/>
          <w:szCs w:val="24"/>
        </w:rPr>
        <w:t>三、获取磋商文件</w:t>
      </w:r>
      <w:r>
        <w:rPr>
          <w:sz w:val="24"/>
          <w:szCs w:val="24"/>
        </w:rPr>
        <w:tab/>
      </w:r>
      <w:r>
        <w:rPr>
          <w:sz w:val="24"/>
          <w:szCs w:val="24"/>
        </w:rPr>
        <w:fldChar w:fldCharType="begin"/>
      </w:r>
      <w:r>
        <w:rPr>
          <w:sz w:val="24"/>
          <w:szCs w:val="24"/>
        </w:rPr>
        <w:instrText xml:space="preserve"> PAGEREF _Toc24923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_Toc27568 </w:instrText>
      </w:r>
      <w:r>
        <w:rPr>
          <w:sz w:val="24"/>
          <w:szCs w:val="24"/>
        </w:rPr>
        <w:fldChar w:fldCharType="separate"/>
      </w:r>
      <w:r>
        <w:rPr>
          <w:rFonts w:hint="eastAsia" w:ascii="黑体" w:hAnsi="黑体" w:eastAsia="黑体" w:cs="黑体"/>
          <w:sz w:val="24"/>
          <w:szCs w:val="24"/>
        </w:rPr>
        <w:t>四、响应文件递交</w:t>
      </w:r>
      <w:r>
        <w:rPr>
          <w:sz w:val="24"/>
          <w:szCs w:val="24"/>
        </w:rPr>
        <w:tab/>
      </w:r>
      <w:r>
        <w:rPr>
          <w:sz w:val="24"/>
          <w:szCs w:val="24"/>
        </w:rPr>
        <w:fldChar w:fldCharType="begin"/>
      </w:r>
      <w:r>
        <w:rPr>
          <w:sz w:val="24"/>
          <w:szCs w:val="24"/>
        </w:rPr>
        <w:instrText xml:space="preserve"> PAGEREF _Toc27568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_Toc3335 </w:instrText>
      </w:r>
      <w:r>
        <w:rPr>
          <w:sz w:val="24"/>
          <w:szCs w:val="24"/>
        </w:rPr>
        <w:fldChar w:fldCharType="separate"/>
      </w:r>
      <w:r>
        <w:rPr>
          <w:rFonts w:hint="eastAsia" w:ascii="黑体" w:hAnsi="黑体" w:eastAsia="黑体" w:cs="黑体"/>
          <w:sz w:val="24"/>
          <w:szCs w:val="24"/>
        </w:rPr>
        <w:t>五、磋商开启</w:t>
      </w:r>
      <w:r>
        <w:rPr>
          <w:sz w:val="24"/>
          <w:szCs w:val="24"/>
        </w:rPr>
        <w:tab/>
      </w:r>
      <w:r>
        <w:rPr>
          <w:sz w:val="24"/>
          <w:szCs w:val="24"/>
        </w:rPr>
        <w:fldChar w:fldCharType="begin"/>
      </w:r>
      <w:r>
        <w:rPr>
          <w:sz w:val="24"/>
          <w:szCs w:val="24"/>
        </w:rPr>
        <w:instrText xml:space="preserve"> PAGEREF _Toc3335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_Toc4337 </w:instrText>
      </w:r>
      <w:r>
        <w:rPr>
          <w:sz w:val="24"/>
          <w:szCs w:val="24"/>
        </w:rPr>
        <w:fldChar w:fldCharType="separate"/>
      </w:r>
      <w:r>
        <w:rPr>
          <w:rFonts w:hint="eastAsia" w:ascii="黑体" w:hAnsi="黑体" w:eastAsia="黑体" w:cs="黑体"/>
          <w:sz w:val="24"/>
          <w:szCs w:val="24"/>
        </w:rPr>
        <w:t>六、其他事项</w:t>
      </w:r>
      <w:r>
        <w:rPr>
          <w:sz w:val="24"/>
          <w:szCs w:val="24"/>
        </w:rPr>
        <w:tab/>
      </w:r>
      <w:r>
        <w:rPr>
          <w:sz w:val="24"/>
          <w:szCs w:val="24"/>
        </w:rPr>
        <w:fldChar w:fldCharType="begin"/>
      </w:r>
      <w:r>
        <w:rPr>
          <w:sz w:val="24"/>
          <w:szCs w:val="24"/>
        </w:rPr>
        <w:instrText xml:space="preserve"> PAGEREF _Toc4337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7"/>
        <w:tabs>
          <w:tab w:val="right" w:leader="dot" w:pos="8901"/>
        </w:tabs>
        <w:rPr>
          <w:sz w:val="24"/>
          <w:szCs w:val="24"/>
        </w:rPr>
      </w:pPr>
      <w:r>
        <w:rPr>
          <w:sz w:val="24"/>
          <w:szCs w:val="24"/>
        </w:rPr>
        <w:fldChar w:fldCharType="begin"/>
      </w:r>
      <w:r>
        <w:rPr>
          <w:sz w:val="24"/>
          <w:szCs w:val="24"/>
        </w:rPr>
        <w:instrText xml:space="preserve"> HYPERLINK \l _Toc4757 </w:instrText>
      </w:r>
      <w:r>
        <w:rPr>
          <w:sz w:val="24"/>
          <w:szCs w:val="24"/>
        </w:rPr>
        <w:fldChar w:fldCharType="separate"/>
      </w:r>
      <w:r>
        <w:rPr>
          <w:rFonts w:hint="eastAsia" w:ascii="黑体" w:hAnsi="黑体" w:eastAsia="黑体" w:cs="黑体"/>
          <w:sz w:val="24"/>
          <w:szCs w:val="24"/>
        </w:rPr>
        <w:t>第二章  采购项目内容</w:t>
      </w:r>
      <w:r>
        <w:rPr>
          <w:sz w:val="24"/>
          <w:szCs w:val="24"/>
        </w:rPr>
        <w:tab/>
      </w:r>
      <w:r>
        <w:rPr>
          <w:sz w:val="24"/>
          <w:szCs w:val="24"/>
        </w:rPr>
        <w:fldChar w:fldCharType="begin"/>
      </w:r>
      <w:r>
        <w:rPr>
          <w:sz w:val="24"/>
          <w:szCs w:val="24"/>
        </w:rPr>
        <w:instrText xml:space="preserve"> PAGEREF _Toc4757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_Toc22005 </w:instrText>
      </w:r>
      <w:r>
        <w:rPr>
          <w:sz w:val="24"/>
          <w:szCs w:val="24"/>
        </w:rPr>
        <w:fldChar w:fldCharType="separate"/>
      </w:r>
      <w:r>
        <w:rPr>
          <w:rFonts w:hint="eastAsia" w:ascii="黑体" w:hAnsi="黑体" w:eastAsia="黑体" w:cs="黑体"/>
          <w:sz w:val="24"/>
          <w:szCs w:val="24"/>
        </w:rPr>
        <w:t>一、采购人情况说明</w:t>
      </w:r>
      <w:r>
        <w:rPr>
          <w:sz w:val="24"/>
          <w:szCs w:val="24"/>
        </w:rPr>
        <w:tab/>
      </w:r>
      <w:r>
        <w:rPr>
          <w:sz w:val="24"/>
          <w:szCs w:val="24"/>
        </w:rPr>
        <w:fldChar w:fldCharType="begin"/>
      </w:r>
      <w:r>
        <w:rPr>
          <w:sz w:val="24"/>
          <w:szCs w:val="24"/>
        </w:rPr>
        <w:instrText xml:space="preserve"> PAGEREF _Toc22005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_Toc8609 </w:instrText>
      </w:r>
      <w:r>
        <w:rPr>
          <w:sz w:val="24"/>
          <w:szCs w:val="24"/>
        </w:rPr>
        <w:fldChar w:fldCharType="separate"/>
      </w:r>
      <w:r>
        <w:rPr>
          <w:rFonts w:hint="eastAsia" w:ascii="黑体" w:hAnsi="黑体" w:eastAsia="黑体" w:cs="黑体"/>
          <w:sz w:val="24"/>
          <w:szCs w:val="24"/>
        </w:rPr>
        <w:t>二、项目主要内容</w:t>
      </w:r>
      <w:r>
        <w:rPr>
          <w:sz w:val="24"/>
          <w:szCs w:val="24"/>
        </w:rPr>
        <w:tab/>
      </w:r>
      <w:r>
        <w:rPr>
          <w:sz w:val="24"/>
          <w:szCs w:val="24"/>
        </w:rPr>
        <w:fldChar w:fldCharType="begin"/>
      </w:r>
      <w:r>
        <w:rPr>
          <w:sz w:val="24"/>
          <w:szCs w:val="24"/>
        </w:rPr>
        <w:instrText xml:space="preserve"> PAGEREF _Toc8609 \h </w:instrText>
      </w:r>
      <w:r>
        <w:rPr>
          <w:sz w:val="24"/>
          <w:szCs w:val="24"/>
        </w:rPr>
        <w:fldChar w:fldCharType="separate"/>
      </w:r>
      <w:r>
        <w:rPr>
          <w:sz w:val="24"/>
          <w:szCs w:val="24"/>
        </w:rPr>
        <w:t>- 6 -</w:t>
      </w:r>
      <w:r>
        <w:rPr>
          <w:sz w:val="24"/>
          <w:szCs w:val="24"/>
        </w:rPr>
        <w:fldChar w:fldCharType="end"/>
      </w:r>
      <w:r>
        <w:rPr>
          <w:sz w:val="24"/>
          <w:szCs w:val="24"/>
        </w:rPr>
        <w:fldChar w:fldCharType="end"/>
      </w:r>
    </w:p>
    <w:p>
      <w:pPr>
        <w:pStyle w:val="7"/>
        <w:tabs>
          <w:tab w:val="right" w:leader="dot" w:pos="8901"/>
        </w:tabs>
        <w:rPr>
          <w:sz w:val="24"/>
          <w:szCs w:val="24"/>
        </w:rPr>
      </w:pPr>
      <w:r>
        <w:rPr>
          <w:sz w:val="24"/>
          <w:szCs w:val="24"/>
        </w:rPr>
        <w:fldChar w:fldCharType="begin"/>
      </w:r>
      <w:r>
        <w:rPr>
          <w:sz w:val="24"/>
          <w:szCs w:val="24"/>
        </w:rPr>
        <w:instrText xml:space="preserve"> HYPERLINK \l _Toc28969 </w:instrText>
      </w:r>
      <w:r>
        <w:rPr>
          <w:sz w:val="24"/>
          <w:szCs w:val="24"/>
        </w:rPr>
        <w:fldChar w:fldCharType="separate"/>
      </w:r>
      <w:r>
        <w:rPr>
          <w:rFonts w:hint="eastAsia" w:ascii="黑体" w:hAnsi="黑体" w:eastAsia="黑体" w:cs="黑体"/>
          <w:sz w:val="24"/>
          <w:szCs w:val="24"/>
        </w:rPr>
        <w:t>第三章  供应商须知</w:t>
      </w:r>
      <w:r>
        <w:rPr>
          <w:sz w:val="24"/>
          <w:szCs w:val="24"/>
        </w:rPr>
        <w:tab/>
      </w:r>
      <w:r>
        <w:rPr>
          <w:sz w:val="24"/>
          <w:szCs w:val="24"/>
        </w:rPr>
        <w:fldChar w:fldCharType="begin"/>
      </w:r>
      <w:r>
        <w:rPr>
          <w:sz w:val="24"/>
          <w:szCs w:val="24"/>
        </w:rPr>
        <w:instrText xml:space="preserve"> PAGEREF _Toc28969 \h </w:instrText>
      </w:r>
      <w:r>
        <w:rPr>
          <w:sz w:val="24"/>
          <w:szCs w:val="24"/>
        </w:rPr>
        <w:fldChar w:fldCharType="separate"/>
      </w:r>
      <w:r>
        <w:rPr>
          <w:sz w:val="24"/>
          <w:szCs w:val="24"/>
        </w:rPr>
        <w:t>- 10 -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_Toc20254 </w:instrText>
      </w:r>
      <w:r>
        <w:rPr>
          <w:sz w:val="24"/>
          <w:szCs w:val="24"/>
        </w:rPr>
        <w:fldChar w:fldCharType="separate"/>
      </w:r>
      <w:r>
        <w:rPr>
          <w:rFonts w:hint="eastAsia" w:ascii="黑体" w:hAnsi="黑体" w:eastAsia="黑体"/>
          <w:sz w:val="24"/>
          <w:szCs w:val="24"/>
        </w:rPr>
        <w:t>一、供应商资格和要求</w:t>
      </w:r>
      <w:r>
        <w:rPr>
          <w:sz w:val="24"/>
          <w:szCs w:val="24"/>
        </w:rPr>
        <w:tab/>
      </w:r>
      <w:r>
        <w:rPr>
          <w:sz w:val="24"/>
          <w:szCs w:val="24"/>
        </w:rPr>
        <w:fldChar w:fldCharType="begin"/>
      </w:r>
      <w:r>
        <w:rPr>
          <w:sz w:val="24"/>
          <w:szCs w:val="24"/>
        </w:rPr>
        <w:instrText xml:space="preserve"> PAGEREF _Toc20254 \h </w:instrText>
      </w:r>
      <w:r>
        <w:rPr>
          <w:sz w:val="24"/>
          <w:szCs w:val="24"/>
        </w:rPr>
        <w:fldChar w:fldCharType="separate"/>
      </w:r>
      <w:r>
        <w:rPr>
          <w:sz w:val="24"/>
          <w:szCs w:val="24"/>
        </w:rPr>
        <w:t>- 10 -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_Toc25347 </w:instrText>
      </w:r>
      <w:r>
        <w:rPr>
          <w:sz w:val="24"/>
          <w:szCs w:val="24"/>
        </w:rPr>
        <w:fldChar w:fldCharType="separate"/>
      </w:r>
      <w:r>
        <w:rPr>
          <w:rFonts w:hint="eastAsia" w:ascii="黑体" w:hAnsi="黑体" w:eastAsia="黑体"/>
          <w:sz w:val="24"/>
          <w:szCs w:val="24"/>
        </w:rPr>
        <w:t>二、竞争性磋商文件的澄清与修改</w:t>
      </w:r>
      <w:r>
        <w:rPr>
          <w:sz w:val="24"/>
          <w:szCs w:val="24"/>
        </w:rPr>
        <w:tab/>
      </w:r>
      <w:r>
        <w:rPr>
          <w:sz w:val="24"/>
          <w:szCs w:val="24"/>
        </w:rPr>
        <w:fldChar w:fldCharType="begin"/>
      </w:r>
      <w:r>
        <w:rPr>
          <w:sz w:val="24"/>
          <w:szCs w:val="24"/>
        </w:rPr>
        <w:instrText xml:space="preserve"> PAGEREF _Toc25347 \h </w:instrText>
      </w:r>
      <w:r>
        <w:rPr>
          <w:sz w:val="24"/>
          <w:szCs w:val="24"/>
        </w:rPr>
        <w:fldChar w:fldCharType="separate"/>
      </w:r>
      <w:r>
        <w:rPr>
          <w:sz w:val="24"/>
          <w:szCs w:val="24"/>
        </w:rPr>
        <w:t>- 11 -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_Toc9139 </w:instrText>
      </w:r>
      <w:r>
        <w:rPr>
          <w:sz w:val="24"/>
          <w:szCs w:val="24"/>
        </w:rPr>
        <w:fldChar w:fldCharType="separate"/>
      </w:r>
      <w:r>
        <w:rPr>
          <w:rFonts w:hint="eastAsia" w:ascii="黑体" w:hAnsi="黑体" w:eastAsia="黑体"/>
          <w:sz w:val="24"/>
          <w:szCs w:val="24"/>
        </w:rPr>
        <w:t>三、响应文件的组成</w:t>
      </w:r>
      <w:r>
        <w:rPr>
          <w:sz w:val="24"/>
          <w:szCs w:val="24"/>
        </w:rPr>
        <w:tab/>
      </w:r>
      <w:r>
        <w:rPr>
          <w:sz w:val="24"/>
          <w:szCs w:val="24"/>
        </w:rPr>
        <w:fldChar w:fldCharType="begin"/>
      </w:r>
      <w:r>
        <w:rPr>
          <w:sz w:val="24"/>
          <w:szCs w:val="24"/>
        </w:rPr>
        <w:instrText xml:space="preserve"> PAGEREF _Toc9139 \h </w:instrText>
      </w:r>
      <w:r>
        <w:rPr>
          <w:sz w:val="24"/>
          <w:szCs w:val="24"/>
        </w:rPr>
        <w:fldChar w:fldCharType="separate"/>
      </w:r>
      <w:r>
        <w:rPr>
          <w:sz w:val="24"/>
          <w:szCs w:val="24"/>
        </w:rPr>
        <w:t>- 11 -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_Toc7032 </w:instrText>
      </w:r>
      <w:r>
        <w:rPr>
          <w:sz w:val="24"/>
          <w:szCs w:val="24"/>
        </w:rPr>
        <w:fldChar w:fldCharType="separate"/>
      </w:r>
      <w:r>
        <w:rPr>
          <w:rFonts w:hint="eastAsia" w:ascii="黑体" w:hAnsi="黑体" w:eastAsia="黑体"/>
          <w:sz w:val="24"/>
          <w:szCs w:val="24"/>
        </w:rPr>
        <w:t>四、响应文件的编制要求</w:t>
      </w:r>
      <w:r>
        <w:rPr>
          <w:sz w:val="24"/>
          <w:szCs w:val="24"/>
        </w:rPr>
        <w:tab/>
      </w:r>
      <w:r>
        <w:rPr>
          <w:sz w:val="24"/>
          <w:szCs w:val="24"/>
        </w:rPr>
        <w:fldChar w:fldCharType="begin"/>
      </w:r>
      <w:r>
        <w:rPr>
          <w:sz w:val="24"/>
          <w:szCs w:val="24"/>
        </w:rPr>
        <w:instrText xml:space="preserve"> PAGEREF _Toc7032 \h </w:instrText>
      </w:r>
      <w:r>
        <w:rPr>
          <w:sz w:val="24"/>
          <w:szCs w:val="24"/>
        </w:rPr>
        <w:fldChar w:fldCharType="separate"/>
      </w:r>
      <w:r>
        <w:rPr>
          <w:sz w:val="24"/>
          <w:szCs w:val="24"/>
        </w:rPr>
        <w:t>- 12 -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_Toc14816 </w:instrText>
      </w:r>
      <w:r>
        <w:rPr>
          <w:sz w:val="24"/>
          <w:szCs w:val="24"/>
        </w:rPr>
        <w:fldChar w:fldCharType="separate"/>
      </w:r>
      <w:r>
        <w:rPr>
          <w:rFonts w:hint="eastAsia" w:ascii="黑体" w:hAnsi="黑体" w:eastAsia="黑体"/>
          <w:sz w:val="24"/>
          <w:szCs w:val="24"/>
        </w:rPr>
        <w:t>五、响应文件的递交</w:t>
      </w:r>
      <w:r>
        <w:rPr>
          <w:sz w:val="24"/>
          <w:szCs w:val="24"/>
        </w:rPr>
        <w:tab/>
      </w:r>
      <w:r>
        <w:rPr>
          <w:sz w:val="24"/>
          <w:szCs w:val="24"/>
        </w:rPr>
        <w:fldChar w:fldCharType="begin"/>
      </w:r>
      <w:r>
        <w:rPr>
          <w:sz w:val="24"/>
          <w:szCs w:val="24"/>
        </w:rPr>
        <w:instrText xml:space="preserve"> PAGEREF _Toc14816 \h </w:instrText>
      </w:r>
      <w:r>
        <w:rPr>
          <w:sz w:val="24"/>
          <w:szCs w:val="24"/>
        </w:rPr>
        <w:fldChar w:fldCharType="separate"/>
      </w:r>
      <w:r>
        <w:rPr>
          <w:sz w:val="24"/>
          <w:szCs w:val="24"/>
        </w:rPr>
        <w:t>- 13 -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_Toc29683 </w:instrText>
      </w:r>
      <w:r>
        <w:rPr>
          <w:sz w:val="24"/>
          <w:szCs w:val="24"/>
        </w:rPr>
        <w:fldChar w:fldCharType="separate"/>
      </w:r>
      <w:r>
        <w:rPr>
          <w:rFonts w:hint="eastAsia" w:ascii="黑体" w:hAnsi="黑体" w:eastAsia="黑体"/>
          <w:sz w:val="24"/>
          <w:szCs w:val="24"/>
        </w:rPr>
        <w:t>六、</w:t>
      </w:r>
      <w:r>
        <w:rPr>
          <w:rFonts w:hint="eastAsia" w:ascii="黑体" w:hAnsi="黑体" w:eastAsia="黑体"/>
          <w:sz w:val="24"/>
          <w:szCs w:val="24"/>
          <w:lang w:val="en-US" w:eastAsia="zh-CN"/>
        </w:rPr>
        <w:t>磋商程序</w:t>
      </w:r>
      <w:r>
        <w:rPr>
          <w:sz w:val="24"/>
          <w:szCs w:val="24"/>
        </w:rPr>
        <w:tab/>
      </w:r>
      <w:r>
        <w:rPr>
          <w:sz w:val="24"/>
          <w:szCs w:val="24"/>
        </w:rPr>
        <w:fldChar w:fldCharType="begin"/>
      </w:r>
      <w:r>
        <w:rPr>
          <w:sz w:val="24"/>
          <w:szCs w:val="24"/>
        </w:rPr>
        <w:instrText xml:space="preserve"> PAGEREF _Toc29683 \h </w:instrText>
      </w:r>
      <w:r>
        <w:rPr>
          <w:sz w:val="24"/>
          <w:szCs w:val="24"/>
        </w:rPr>
        <w:fldChar w:fldCharType="separate"/>
      </w:r>
      <w:r>
        <w:rPr>
          <w:sz w:val="24"/>
          <w:szCs w:val="24"/>
        </w:rPr>
        <w:t>- 13 -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_Toc21128 </w:instrText>
      </w:r>
      <w:r>
        <w:rPr>
          <w:sz w:val="24"/>
          <w:szCs w:val="24"/>
        </w:rPr>
        <w:fldChar w:fldCharType="separate"/>
      </w:r>
      <w:r>
        <w:rPr>
          <w:rFonts w:hint="eastAsia" w:ascii="黑体" w:hAnsi="黑体" w:eastAsia="黑体"/>
          <w:sz w:val="24"/>
          <w:szCs w:val="24"/>
        </w:rPr>
        <w:t>七、</w:t>
      </w:r>
      <w:r>
        <w:rPr>
          <w:rFonts w:hint="eastAsia" w:ascii="黑体" w:hAnsi="黑体" w:eastAsia="黑体"/>
          <w:sz w:val="24"/>
          <w:szCs w:val="24"/>
          <w:lang w:val="en-US" w:eastAsia="zh-CN"/>
        </w:rPr>
        <w:t>确定成交供应商</w:t>
      </w:r>
      <w:r>
        <w:rPr>
          <w:sz w:val="24"/>
          <w:szCs w:val="24"/>
        </w:rPr>
        <w:tab/>
      </w:r>
      <w:r>
        <w:rPr>
          <w:sz w:val="24"/>
          <w:szCs w:val="24"/>
        </w:rPr>
        <w:fldChar w:fldCharType="begin"/>
      </w:r>
      <w:r>
        <w:rPr>
          <w:sz w:val="24"/>
          <w:szCs w:val="24"/>
        </w:rPr>
        <w:instrText xml:space="preserve"> PAGEREF _Toc21128 \h </w:instrText>
      </w:r>
      <w:r>
        <w:rPr>
          <w:sz w:val="24"/>
          <w:szCs w:val="24"/>
        </w:rPr>
        <w:fldChar w:fldCharType="separate"/>
      </w:r>
      <w:r>
        <w:rPr>
          <w:sz w:val="24"/>
          <w:szCs w:val="24"/>
        </w:rPr>
        <w:t>- 14 -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_Toc27216 </w:instrText>
      </w:r>
      <w:r>
        <w:rPr>
          <w:sz w:val="24"/>
          <w:szCs w:val="24"/>
        </w:rPr>
        <w:fldChar w:fldCharType="separate"/>
      </w:r>
      <w:r>
        <w:rPr>
          <w:rFonts w:hint="eastAsia" w:ascii="黑体" w:hAnsi="黑体" w:eastAsia="黑体" w:cs="黑体"/>
          <w:sz w:val="24"/>
          <w:szCs w:val="24"/>
          <w:lang w:val="en-US" w:eastAsia="zh-CN"/>
        </w:rPr>
        <w:t>八、注意事项</w:t>
      </w:r>
      <w:r>
        <w:rPr>
          <w:sz w:val="24"/>
          <w:szCs w:val="24"/>
        </w:rPr>
        <w:tab/>
      </w:r>
      <w:r>
        <w:rPr>
          <w:sz w:val="24"/>
          <w:szCs w:val="24"/>
        </w:rPr>
        <w:fldChar w:fldCharType="begin"/>
      </w:r>
      <w:r>
        <w:rPr>
          <w:sz w:val="24"/>
          <w:szCs w:val="24"/>
        </w:rPr>
        <w:instrText xml:space="preserve"> PAGEREF _Toc27216 \h </w:instrText>
      </w:r>
      <w:r>
        <w:rPr>
          <w:sz w:val="24"/>
          <w:szCs w:val="24"/>
        </w:rPr>
        <w:fldChar w:fldCharType="separate"/>
      </w:r>
      <w:r>
        <w:rPr>
          <w:sz w:val="24"/>
          <w:szCs w:val="24"/>
        </w:rPr>
        <w:t>- 15 -</w:t>
      </w:r>
      <w:r>
        <w:rPr>
          <w:sz w:val="24"/>
          <w:szCs w:val="24"/>
        </w:rPr>
        <w:fldChar w:fldCharType="end"/>
      </w:r>
      <w:r>
        <w:rPr>
          <w:sz w:val="24"/>
          <w:szCs w:val="24"/>
        </w:rPr>
        <w:fldChar w:fldCharType="end"/>
      </w:r>
    </w:p>
    <w:p>
      <w:pPr>
        <w:pStyle w:val="7"/>
        <w:tabs>
          <w:tab w:val="right" w:leader="dot" w:pos="8901"/>
        </w:tabs>
        <w:rPr>
          <w:sz w:val="24"/>
          <w:szCs w:val="24"/>
        </w:rPr>
      </w:pPr>
      <w:r>
        <w:rPr>
          <w:sz w:val="24"/>
          <w:szCs w:val="24"/>
        </w:rPr>
        <w:fldChar w:fldCharType="begin"/>
      </w:r>
      <w:r>
        <w:rPr>
          <w:sz w:val="24"/>
          <w:szCs w:val="24"/>
        </w:rPr>
        <w:instrText xml:space="preserve"> HYPERLINK \l _Toc14994 </w:instrText>
      </w:r>
      <w:r>
        <w:rPr>
          <w:sz w:val="24"/>
          <w:szCs w:val="24"/>
        </w:rPr>
        <w:fldChar w:fldCharType="separate"/>
      </w:r>
      <w:r>
        <w:rPr>
          <w:rFonts w:hint="eastAsia" w:ascii="黑体" w:hAnsi="黑体" w:eastAsia="黑体" w:cs="黑体"/>
          <w:sz w:val="24"/>
          <w:szCs w:val="24"/>
        </w:rPr>
        <w:t>第</w:t>
      </w:r>
      <w:r>
        <w:rPr>
          <w:rFonts w:hint="eastAsia" w:ascii="黑体" w:hAnsi="黑体" w:eastAsia="黑体" w:cs="黑体"/>
          <w:sz w:val="24"/>
          <w:szCs w:val="24"/>
          <w:lang w:val="en-US" w:eastAsia="zh-CN"/>
        </w:rPr>
        <w:t>四</w:t>
      </w:r>
      <w:r>
        <w:rPr>
          <w:rFonts w:hint="eastAsia" w:ascii="黑体" w:hAnsi="黑体" w:eastAsia="黑体" w:cs="黑体"/>
          <w:sz w:val="24"/>
          <w:szCs w:val="24"/>
        </w:rPr>
        <w:t xml:space="preserve">章  </w:t>
      </w:r>
      <w:r>
        <w:rPr>
          <w:rFonts w:hint="eastAsia" w:ascii="黑体" w:hAnsi="黑体" w:eastAsia="黑体" w:cs="黑体"/>
          <w:sz w:val="24"/>
          <w:szCs w:val="24"/>
          <w:lang w:val="en-US" w:eastAsia="zh-CN"/>
        </w:rPr>
        <w:t>评审办法</w:t>
      </w:r>
      <w:r>
        <w:rPr>
          <w:sz w:val="24"/>
          <w:szCs w:val="24"/>
        </w:rPr>
        <w:tab/>
      </w:r>
      <w:r>
        <w:rPr>
          <w:sz w:val="24"/>
          <w:szCs w:val="24"/>
        </w:rPr>
        <w:fldChar w:fldCharType="begin"/>
      </w:r>
      <w:r>
        <w:rPr>
          <w:sz w:val="24"/>
          <w:szCs w:val="24"/>
        </w:rPr>
        <w:instrText xml:space="preserve"> PAGEREF _Toc14994 \h </w:instrText>
      </w:r>
      <w:r>
        <w:rPr>
          <w:sz w:val="24"/>
          <w:szCs w:val="24"/>
        </w:rPr>
        <w:fldChar w:fldCharType="separate"/>
      </w:r>
      <w:r>
        <w:rPr>
          <w:sz w:val="24"/>
          <w:szCs w:val="24"/>
        </w:rPr>
        <w:t>- 16 -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_Toc11370 </w:instrText>
      </w:r>
      <w:r>
        <w:rPr>
          <w:sz w:val="24"/>
          <w:szCs w:val="24"/>
        </w:rPr>
        <w:fldChar w:fldCharType="separate"/>
      </w:r>
      <w:r>
        <w:rPr>
          <w:rFonts w:hint="eastAsia" w:ascii="黑体" w:hAnsi="黑体" w:eastAsia="黑体" w:cs="黑体"/>
          <w:sz w:val="24"/>
          <w:szCs w:val="24"/>
          <w:lang w:val="en-US" w:eastAsia="zh-CN"/>
        </w:rPr>
        <w:t>一、评审方法</w:t>
      </w:r>
      <w:r>
        <w:rPr>
          <w:sz w:val="24"/>
          <w:szCs w:val="24"/>
        </w:rPr>
        <w:tab/>
      </w:r>
      <w:r>
        <w:rPr>
          <w:sz w:val="24"/>
          <w:szCs w:val="24"/>
        </w:rPr>
        <w:fldChar w:fldCharType="begin"/>
      </w:r>
      <w:r>
        <w:rPr>
          <w:sz w:val="24"/>
          <w:szCs w:val="24"/>
        </w:rPr>
        <w:instrText xml:space="preserve"> PAGEREF _Toc11370 \h </w:instrText>
      </w:r>
      <w:r>
        <w:rPr>
          <w:sz w:val="24"/>
          <w:szCs w:val="24"/>
        </w:rPr>
        <w:fldChar w:fldCharType="separate"/>
      </w:r>
      <w:r>
        <w:rPr>
          <w:sz w:val="24"/>
          <w:szCs w:val="24"/>
        </w:rPr>
        <w:t>- 16 -</w:t>
      </w:r>
      <w:r>
        <w:rPr>
          <w:sz w:val="24"/>
          <w:szCs w:val="24"/>
        </w:rPr>
        <w:fldChar w:fldCharType="end"/>
      </w:r>
      <w:r>
        <w:rPr>
          <w:sz w:val="24"/>
          <w:szCs w:val="24"/>
        </w:rPr>
        <w:fldChar w:fldCharType="end"/>
      </w:r>
    </w:p>
    <w:p>
      <w:pPr>
        <w:pStyle w:val="8"/>
        <w:tabs>
          <w:tab w:val="right" w:leader="dot" w:pos="8901"/>
        </w:tabs>
        <w:rPr>
          <w:sz w:val="24"/>
          <w:szCs w:val="24"/>
        </w:rPr>
      </w:pPr>
      <w:r>
        <w:rPr>
          <w:sz w:val="24"/>
          <w:szCs w:val="24"/>
        </w:rPr>
        <w:fldChar w:fldCharType="begin"/>
      </w:r>
      <w:r>
        <w:rPr>
          <w:sz w:val="24"/>
          <w:szCs w:val="24"/>
        </w:rPr>
        <w:instrText xml:space="preserve"> HYPERLINK \l _Toc29371 </w:instrText>
      </w:r>
      <w:r>
        <w:rPr>
          <w:sz w:val="24"/>
          <w:szCs w:val="24"/>
        </w:rPr>
        <w:fldChar w:fldCharType="separate"/>
      </w:r>
      <w:r>
        <w:rPr>
          <w:rFonts w:hint="eastAsia" w:ascii="黑体" w:hAnsi="黑体" w:eastAsia="黑体" w:cs="黑体"/>
          <w:sz w:val="24"/>
          <w:szCs w:val="24"/>
          <w:lang w:val="en-US" w:eastAsia="zh-CN"/>
        </w:rPr>
        <w:t>二、评分细则</w:t>
      </w:r>
      <w:r>
        <w:rPr>
          <w:sz w:val="24"/>
          <w:szCs w:val="24"/>
        </w:rPr>
        <w:tab/>
      </w:r>
      <w:r>
        <w:rPr>
          <w:sz w:val="24"/>
          <w:szCs w:val="24"/>
        </w:rPr>
        <w:fldChar w:fldCharType="begin"/>
      </w:r>
      <w:r>
        <w:rPr>
          <w:sz w:val="24"/>
          <w:szCs w:val="24"/>
        </w:rPr>
        <w:instrText xml:space="preserve"> PAGEREF _Toc29371 \h </w:instrText>
      </w:r>
      <w:r>
        <w:rPr>
          <w:sz w:val="24"/>
          <w:szCs w:val="24"/>
        </w:rPr>
        <w:fldChar w:fldCharType="separate"/>
      </w:r>
      <w:r>
        <w:rPr>
          <w:sz w:val="24"/>
          <w:szCs w:val="24"/>
        </w:rPr>
        <w:t>- 16 -</w:t>
      </w:r>
      <w:r>
        <w:rPr>
          <w:sz w:val="24"/>
          <w:szCs w:val="24"/>
        </w:rPr>
        <w:fldChar w:fldCharType="end"/>
      </w:r>
      <w:r>
        <w:rPr>
          <w:sz w:val="24"/>
          <w:szCs w:val="24"/>
        </w:rPr>
        <w:fldChar w:fldCharType="end"/>
      </w:r>
    </w:p>
    <w:p>
      <w:pPr>
        <w:adjustRightInd w:val="0"/>
        <w:snapToGrid w:val="0"/>
        <w:spacing w:line="360" w:lineRule="auto"/>
        <w:ind w:firstLine="480" w:firstLineChars="200"/>
        <w:rPr>
          <w:sz w:val="24"/>
          <w:szCs w:val="24"/>
        </w:rPr>
      </w:pPr>
      <w:r>
        <w:rPr>
          <w:sz w:val="24"/>
          <w:szCs w:val="24"/>
        </w:rPr>
        <w:fldChar w:fldCharType="end"/>
      </w: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adjustRightInd w:val="0"/>
        <w:snapToGrid w:val="0"/>
        <w:spacing w:line="360" w:lineRule="auto"/>
        <w:ind w:firstLine="420" w:firstLineChars="200"/>
      </w:pPr>
    </w:p>
    <w:p>
      <w:pPr>
        <w:pStyle w:val="2"/>
        <w:jc w:val="center"/>
        <w:outlineLvl w:val="0"/>
      </w:pPr>
      <w:bookmarkStart w:id="0" w:name="_Toc20008"/>
      <w:r>
        <w:rPr>
          <w:rFonts w:hint="eastAsia" w:ascii="黑体" w:hAnsi="黑体" w:eastAsia="黑体" w:cs="黑体"/>
          <w:sz w:val="32"/>
          <w:szCs w:val="32"/>
        </w:rPr>
        <w:t>第一章  竞争性磋商公告</w:t>
      </w:r>
      <w:bookmarkEnd w:id="0"/>
    </w:p>
    <w:p>
      <w:pPr>
        <w:spacing w:line="560" w:lineRule="exact"/>
        <w:ind w:firstLine="573"/>
        <w:rPr>
          <w:rFonts w:ascii="楷体_GB2312" w:hAnsi="宋体" w:eastAsia="楷体_GB2312"/>
          <w:sz w:val="28"/>
          <w:szCs w:val="28"/>
        </w:rPr>
      </w:pPr>
      <w:r>
        <w:rPr>
          <w:rFonts w:hint="eastAsia" w:ascii="楷体_GB2312" w:hAnsi="宋体" w:eastAsia="楷体_GB2312"/>
          <w:sz w:val="28"/>
          <w:szCs w:val="28"/>
        </w:rPr>
        <w:t>北京市政路桥建材集团有限公司（以下简称“采购人”）拟进行IPO上市，现通过竞争性磋商的方式进行律师事务所服务采购，欢迎满足资格要求的供应商前来参加磋商。具体事宜公告如下：</w:t>
      </w:r>
    </w:p>
    <w:p>
      <w:pPr>
        <w:spacing w:line="560" w:lineRule="exact"/>
        <w:ind w:firstLine="560" w:firstLineChars="200"/>
        <w:outlineLvl w:val="1"/>
        <w:rPr>
          <w:rFonts w:ascii="黑体" w:hAnsi="黑体" w:eastAsia="黑体" w:cs="黑体"/>
          <w:sz w:val="28"/>
          <w:szCs w:val="28"/>
        </w:rPr>
      </w:pPr>
      <w:bookmarkStart w:id="1" w:name="_Toc17018"/>
      <w:r>
        <w:rPr>
          <w:rFonts w:hint="eastAsia" w:ascii="黑体" w:hAnsi="黑体" w:eastAsia="黑体" w:cs="黑体"/>
          <w:sz w:val="28"/>
          <w:szCs w:val="28"/>
        </w:rPr>
        <w:t>一、项目基本情况</w:t>
      </w:r>
      <w:bookmarkEnd w:id="1"/>
    </w:p>
    <w:p>
      <w:pPr>
        <w:spacing w:line="560" w:lineRule="exact"/>
        <w:rPr>
          <w:rFonts w:ascii="楷体_GB2312" w:hAnsi="宋体" w:eastAsia="楷体_GB2312"/>
          <w:sz w:val="28"/>
          <w:szCs w:val="28"/>
        </w:rPr>
      </w:pPr>
      <w:r>
        <w:rPr>
          <w:rFonts w:hint="eastAsia" w:ascii="楷体_GB2312" w:hAnsi="宋体" w:eastAsia="楷体_GB2312"/>
          <w:b/>
          <w:bCs/>
          <w:sz w:val="28"/>
          <w:szCs w:val="28"/>
        </w:rPr>
        <w:t xml:space="preserve">   </w:t>
      </w:r>
      <w:r>
        <w:rPr>
          <w:rFonts w:hint="eastAsia" w:ascii="楷体_GB2312" w:hAnsi="宋体" w:eastAsia="楷体_GB2312"/>
          <w:sz w:val="28"/>
          <w:szCs w:val="28"/>
        </w:rPr>
        <w:t xml:space="preserve"> </w:t>
      </w:r>
      <w:r>
        <w:rPr>
          <w:rFonts w:hint="eastAsia" w:ascii="楷体_GB2312" w:hAnsi="宋体" w:eastAsia="楷体_GB2312"/>
          <w:b/>
          <w:bCs/>
          <w:sz w:val="28"/>
          <w:szCs w:val="28"/>
        </w:rPr>
        <w:t>项目名称：</w:t>
      </w:r>
      <w:r>
        <w:rPr>
          <w:rFonts w:hint="eastAsia" w:ascii="楷体_GB2312" w:hAnsi="宋体" w:eastAsia="楷体_GB2312"/>
          <w:sz w:val="28"/>
          <w:szCs w:val="28"/>
        </w:rPr>
        <w:t>北京市政路桥建材集团有限公司引入上市中介服务机构（律师事务所）项目</w:t>
      </w:r>
    </w:p>
    <w:p>
      <w:pPr>
        <w:spacing w:line="560" w:lineRule="exact"/>
        <w:ind w:firstLine="562"/>
        <w:rPr>
          <w:rFonts w:ascii="楷体_GB2312" w:hAnsi="宋体" w:eastAsia="楷体_GB2312"/>
          <w:sz w:val="28"/>
          <w:szCs w:val="28"/>
        </w:rPr>
      </w:pPr>
      <w:r>
        <w:rPr>
          <w:rFonts w:hint="eastAsia" w:ascii="楷体_GB2312" w:hAnsi="宋体" w:eastAsia="楷体_GB2312"/>
          <w:b/>
          <w:bCs/>
          <w:sz w:val="28"/>
          <w:szCs w:val="28"/>
        </w:rPr>
        <w:t>采购方式：</w:t>
      </w:r>
      <w:r>
        <w:rPr>
          <w:rFonts w:hint="eastAsia" w:ascii="楷体_GB2312" w:hAnsi="宋体" w:eastAsia="楷体_GB2312"/>
          <w:sz w:val="28"/>
          <w:szCs w:val="28"/>
        </w:rPr>
        <w:t>竞争性磋商</w:t>
      </w:r>
    </w:p>
    <w:p>
      <w:pPr>
        <w:spacing w:line="560" w:lineRule="exact"/>
        <w:ind w:firstLine="562"/>
        <w:rPr>
          <w:rFonts w:ascii="楷体_GB2312" w:hAnsi="宋体" w:eastAsia="楷体_GB2312"/>
          <w:sz w:val="28"/>
          <w:szCs w:val="28"/>
        </w:rPr>
      </w:pPr>
      <w:r>
        <w:rPr>
          <w:rFonts w:hint="eastAsia" w:ascii="楷体_GB2312" w:hAnsi="宋体" w:eastAsia="楷体_GB2312"/>
          <w:b/>
          <w:bCs/>
          <w:sz w:val="28"/>
          <w:szCs w:val="28"/>
        </w:rPr>
        <w:t>采购需求：</w:t>
      </w:r>
      <w:r>
        <w:rPr>
          <w:rFonts w:hint="eastAsia" w:ascii="楷体_GB2312" w:hAnsi="宋体" w:eastAsia="楷体_GB2312"/>
          <w:sz w:val="28"/>
          <w:szCs w:val="28"/>
        </w:rPr>
        <w:t>为采购人提供IPO上市法律服务</w:t>
      </w:r>
    </w:p>
    <w:p>
      <w:pPr>
        <w:spacing w:line="560" w:lineRule="exact"/>
        <w:outlineLvl w:val="1"/>
        <w:rPr>
          <w:rFonts w:ascii="楷体_GB2312" w:hAnsi="宋体" w:eastAsia="楷体_GB2312"/>
          <w:b/>
          <w:bCs/>
          <w:sz w:val="28"/>
          <w:szCs w:val="28"/>
        </w:rPr>
      </w:pPr>
      <w:r>
        <w:rPr>
          <w:rFonts w:hint="eastAsia" w:ascii="楷体_GB2312" w:hAnsi="宋体" w:eastAsia="楷体_GB2312"/>
          <w:b/>
          <w:bCs/>
          <w:sz w:val="28"/>
          <w:szCs w:val="28"/>
        </w:rPr>
        <w:t xml:space="preserve">  </w:t>
      </w:r>
      <w:r>
        <w:rPr>
          <w:rFonts w:hint="eastAsia" w:ascii="黑体" w:hAnsi="黑体" w:eastAsia="黑体" w:cs="黑体"/>
          <w:sz w:val="28"/>
          <w:szCs w:val="28"/>
        </w:rPr>
        <w:t xml:space="preserve">  </w:t>
      </w:r>
      <w:bookmarkStart w:id="2" w:name="_Toc5570"/>
      <w:r>
        <w:rPr>
          <w:rFonts w:hint="eastAsia" w:ascii="黑体" w:hAnsi="黑体" w:eastAsia="黑体" w:cs="黑体"/>
          <w:sz w:val="28"/>
          <w:szCs w:val="28"/>
        </w:rPr>
        <w:t>二、供应商资格要求</w:t>
      </w:r>
      <w:bookmarkEnd w:id="2"/>
    </w:p>
    <w:p>
      <w:pPr>
        <w:pStyle w:val="9"/>
        <w:widowControl/>
        <w:spacing w:beforeAutospacing="0" w:afterAutospacing="0" w:line="560" w:lineRule="exact"/>
        <w:ind w:firstLine="560" w:firstLineChars="200"/>
        <w:jc w:val="both"/>
        <w:rPr>
          <w:rFonts w:hint="eastAsia" w:ascii="楷体_GB2312" w:hAnsi="宋体" w:eastAsia="楷体_GB2312"/>
          <w:kern w:val="2"/>
          <w:sz w:val="28"/>
          <w:szCs w:val="28"/>
          <w:lang w:eastAsia="zh-CN"/>
        </w:rPr>
      </w:pPr>
      <w:r>
        <w:rPr>
          <w:rFonts w:hint="eastAsia" w:ascii="楷体_GB2312" w:hAnsi="宋体" w:eastAsia="楷体_GB2312"/>
          <w:kern w:val="2"/>
          <w:sz w:val="28"/>
          <w:szCs w:val="28"/>
        </w:rPr>
        <w:t>1.在中国境内注册成立，具有有效法人资格</w:t>
      </w:r>
      <w:r>
        <w:rPr>
          <w:rFonts w:hint="eastAsia" w:ascii="楷体_GB2312" w:hAnsi="宋体" w:eastAsia="楷体_GB2312"/>
          <w:kern w:val="2"/>
          <w:sz w:val="28"/>
          <w:szCs w:val="28"/>
          <w:lang w:eastAsia="zh-CN"/>
        </w:rPr>
        <w:t>；</w:t>
      </w:r>
    </w:p>
    <w:p>
      <w:pPr>
        <w:pStyle w:val="9"/>
        <w:widowControl/>
        <w:spacing w:beforeAutospacing="0" w:afterAutospacing="0" w:line="560" w:lineRule="exact"/>
        <w:ind w:firstLine="560" w:firstLineChars="200"/>
        <w:jc w:val="both"/>
        <w:rPr>
          <w:rFonts w:hint="eastAsia" w:ascii="楷体_GB2312" w:hAnsi="宋体" w:eastAsia="楷体_GB2312"/>
          <w:kern w:val="2"/>
          <w:sz w:val="28"/>
          <w:szCs w:val="28"/>
          <w:lang w:eastAsia="zh-CN"/>
        </w:rPr>
      </w:pPr>
      <w:r>
        <w:rPr>
          <w:rFonts w:hint="eastAsia" w:ascii="楷体_GB2312" w:hAnsi="宋体" w:eastAsia="楷体_GB2312"/>
          <w:kern w:val="2"/>
          <w:sz w:val="28"/>
          <w:szCs w:val="28"/>
        </w:rPr>
        <w:t>2.具有证券从业资格</w:t>
      </w:r>
      <w:r>
        <w:rPr>
          <w:rFonts w:hint="eastAsia" w:ascii="楷体_GB2312" w:hAnsi="宋体" w:eastAsia="楷体_GB2312"/>
          <w:kern w:val="2"/>
          <w:sz w:val="28"/>
          <w:szCs w:val="28"/>
          <w:lang w:eastAsia="zh-CN"/>
        </w:rPr>
        <w:t>；</w:t>
      </w:r>
    </w:p>
    <w:p>
      <w:pPr>
        <w:pStyle w:val="9"/>
        <w:widowControl/>
        <w:spacing w:beforeAutospacing="0" w:afterAutospacing="0" w:line="560" w:lineRule="exact"/>
        <w:ind w:firstLine="560" w:firstLineChars="200"/>
        <w:jc w:val="both"/>
        <w:rPr>
          <w:rFonts w:hint="eastAsia" w:ascii="楷体_GB2312" w:hAnsi="宋体" w:eastAsia="楷体_GB2312"/>
          <w:kern w:val="2"/>
          <w:sz w:val="28"/>
          <w:szCs w:val="28"/>
          <w:lang w:eastAsia="zh-CN"/>
        </w:rPr>
      </w:pPr>
      <w:r>
        <w:rPr>
          <w:rFonts w:hint="eastAsia" w:ascii="楷体_GB2312" w:hAnsi="宋体" w:eastAsia="楷体_GB2312"/>
          <w:kern w:val="2"/>
          <w:sz w:val="28"/>
          <w:szCs w:val="28"/>
        </w:rPr>
        <w:t>3.具备企业改制上市的专业服务能力</w:t>
      </w:r>
      <w:r>
        <w:rPr>
          <w:rFonts w:hint="eastAsia" w:ascii="楷体_GB2312" w:hAnsi="宋体" w:eastAsia="楷体_GB2312"/>
          <w:kern w:val="2"/>
          <w:sz w:val="28"/>
          <w:szCs w:val="28"/>
          <w:lang w:eastAsia="zh-CN"/>
        </w:rPr>
        <w:t>；</w:t>
      </w:r>
    </w:p>
    <w:p>
      <w:pPr>
        <w:pStyle w:val="9"/>
        <w:widowControl/>
        <w:spacing w:beforeAutospacing="0" w:afterAutospacing="0" w:line="560" w:lineRule="exact"/>
        <w:ind w:firstLine="560" w:firstLineChars="200"/>
        <w:jc w:val="both"/>
        <w:rPr>
          <w:rFonts w:hint="eastAsia" w:ascii="楷体_GB2312" w:hAnsi="宋体" w:eastAsia="楷体_GB2312"/>
          <w:kern w:val="2"/>
          <w:sz w:val="28"/>
          <w:szCs w:val="28"/>
          <w:lang w:eastAsia="zh-CN"/>
        </w:rPr>
      </w:pPr>
      <w:r>
        <w:rPr>
          <w:rFonts w:hint="eastAsia" w:ascii="楷体_GB2312" w:hAnsi="宋体" w:eastAsia="楷体_GB2312"/>
          <w:kern w:val="2"/>
          <w:sz w:val="28"/>
          <w:szCs w:val="28"/>
        </w:rPr>
        <w:t>4.具有强大的专业人员队伍和工作能力</w:t>
      </w:r>
      <w:r>
        <w:rPr>
          <w:rFonts w:hint="eastAsia" w:ascii="楷体_GB2312" w:hAnsi="宋体" w:eastAsia="楷体_GB2312"/>
          <w:kern w:val="2"/>
          <w:sz w:val="28"/>
          <w:szCs w:val="28"/>
          <w:lang w:eastAsia="zh-CN"/>
        </w:rPr>
        <w:t>；</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5.在业内具有良好信誉和声望，且近三年无严重不良执业记录。</w:t>
      </w:r>
    </w:p>
    <w:p>
      <w:pPr>
        <w:pStyle w:val="9"/>
        <w:widowControl/>
        <w:spacing w:beforeAutospacing="0" w:afterAutospacing="0" w:line="560" w:lineRule="exact"/>
        <w:ind w:firstLine="560" w:firstLineChars="200"/>
        <w:jc w:val="both"/>
        <w:outlineLvl w:val="1"/>
        <w:rPr>
          <w:rFonts w:ascii="黑体" w:hAnsi="黑体" w:eastAsia="黑体" w:cs="黑体"/>
          <w:kern w:val="2"/>
          <w:sz w:val="28"/>
          <w:szCs w:val="28"/>
        </w:rPr>
      </w:pPr>
      <w:bookmarkStart w:id="3" w:name="_Toc24923"/>
      <w:r>
        <w:rPr>
          <w:rFonts w:hint="eastAsia" w:ascii="黑体" w:hAnsi="黑体" w:eastAsia="黑体" w:cs="黑体"/>
          <w:kern w:val="2"/>
          <w:sz w:val="28"/>
          <w:szCs w:val="28"/>
        </w:rPr>
        <w:t>三、获取磋商文件</w:t>
      </w:r>
      <w:bookmarkEnd w:id="3"/>
    </w:p>
    <w:p>
      <w:pPr>
        <w:adjustRightInd w:val="0"/>
        <w:snapToGrid w:val="0"/>
        <w:spacing w:line="560" w:lineRule="exact"/>
        <w:ind w:firstLine="562" w:firstLineChars="200"/>
        <w:rPr>
          <w:rFonts w:ascii="楷体_GB2312" w:hAnsi="宋体" w:eastAsia="楷体_GB2312"/>
          <w:sz w:val="28"/>
          <w:szCs w:val="28"/>
        </w:rPr>
      </w:pPr>
      <w:r>
        <w:rPr>
          <w:rFonts w:hint="eastAsia" w:ascii="楷体_GB2312" w:hAnsi="宋体" w:eastAsia="楷体_GB2312"/>
          <w:b/>
          <w:bCs/>
          <w:sz w:val="28"/>
          <w:szCs w:val="28"/>
        </w:rPr>
        <w:t>时间：</w:t>
      </w:r>
      <w:r>
        <w:rPr>
          <w:rFonts w:hint="eastAsia" w:ascii="楷体_GB2312" w:hAnsi="宋体" w:eastAsia="楷体_GB2312"/>
          <w:sz w:val="28"/>
          <w:szCs w:val="28"/>
        </w:rPr>
        <w:t>2021年7月20日至2021年7月2</w:t>
      </w:r>
      <w:r>
        <w:rPr>
          <w:rFonts w:hint="eastAsia" w:ascii="楷体_GB2312" w:hAnsi="宋体" w:eastAsia="楷体_GB2312"/>
          <w:sz w:val="28"/>
          <w:szCs w:val="28"/>
          <w:lang w:val="en-US" w:eastAsia="zh-CN"/>
        </w:rPr>
        <w:t>6</w:t>
      </w:r>
      <w:r>
        <w:rPr>
          <w:rFonts w:hint="eastAsia" w:ascii="楷体_GB2312" w:hAnsi="宋体" w:eastAsia="楷体_GB2312"/>
          <w:sz w:val="28"/>
          <w:szCs w:val="28"/>
        </w:rPr>
        <w:t>日，每天9：00至16：00</w:t>
      </w:r>
    </w:p>
    <w:p>
      <w:pPr>
        <w:adjustRightInd w:val="0"/>
        <w:snapToGrid w:val="0"/>
        <w:spacing w:line="560" w:lineRule="exact"/>
        <w:ind w:firstLine="562" w:firstLineChars="200"/>
        <w:rPr>
          <w:rFonts w:hint="default" w:ascii="楷体_GB2312" w:hAnsi="宋体" w:eastAsia="楷体_GB2312"/>
          <w:sz w:val="28"/>
          <w:szCs w:val="28"/>
          <w:lang w:val="en-US" w:eastAsia="zh-CN"/>
        </w:rPr>
      </w:pPr>
      <w:r>
        <w:rPr>
          <w:rFonts w:hint="eastAsia" w:ascii="楷体_GB2312" w:hAnsi="宋体" w:eastAsia="楷体_GB2312"/>
          <w:b/>
          <w:bCs/>
          <w:sz w:val="28"/>
          <w:szCs w:val="28"/>
        </w:rPr>
        <w:t>方式：</w:t>
      </w:r>
      <w:r>
        <w:rPr>
          <w:rFonts w:hint="eastAsia" w:ascii="楷体_GB2312" w:hAnsi="宋体" w:eastAsia="楷体_GB2312"/>
          <w:sz w:val="28"/>
          <w:szCs w:val="28"/>
          <w:lang w:val="en-US" w:eastAsia="zh-CN"/>
        </w:rPr>
        <w:t>采购人</w:t>
      </w:r>
      <w:r>
        <w:rPr>
          <w:rFonts w:hint="eastAsia" w:ascii="楷体_GB2312" w:hAnsi="宋体" w:eastAsia="楷体_GB2312"/>
          <w:sz w:val="28"/>
          <w:szCs w:val="28"/>
        </w:rPr>
        <w:t>上市工作办公室以邮件形式向供应商发送竞争性磋商</w:t>
      </w:r>
      <w:r>
        <w:rPr>
          <w:rFonts w:hint="eastAsia" w:ascii="楷体_GB2312" w:hAnsi="宋体" w:eastAsia="楷体_GB2312"/>
          <w:sz w:val="28"/>
          <w:szCs w:val="28"/>
          <w:lang w:val="en-US" w:eastAsia="zh-CN"/>
        </w:rPr>
        <w:t>公告，有意愿的供应商邮件回复参加磋商确认函后，采购人通过邮件将竞争性磋商文件发送给确认供应商。</w:t>
      </w:r>
    </w:p>
    <w:p>
      <w:pPr>
        <w:adjustRightInd w:val="0"/>
        <w:snapToGrid w:val="0"/>
        <w:spacing w:line="560" w:lineRule="exact"/>
        <w:ind w:firstLine="562" w:firstLineChars="200"/>
        <w:rPr>
          <w:rFonts w:ascii="楷体_GB2312" w:hAnsi="宋体" w:eastAsia="楷体_GB2312"/>
          <w:sz w:val="28"/>
          <w:szCs w:val="28"/>
        </w:rPr>
      </w:pPr>
      <w:r>
        <w:rPr>
          <w:rFonts w:hint="eastAsia" w:ascii="楷体_GB2312" w:hAnsi="宋体" w:eastAsia="楷体_GB2312"/>
          <w:b/>
          <w:bCs/>
          <w:sz w:val="28"/>
          <w:szCs w:val="28"/>
        </w:rPr>
        <w:t>售价：</w:t>
      </w:r>
      <w:r>
        <w:rPr>
          <w:rFonts w:hint="eastAsia" w:ascii="楷体_GB2312" w:hAnsi="宋体" w:eastAsia="楷体_GB2312"/>
          <w:sz w:val="28"/>
          <w:szCs w:val="28"/>
        </w:rPr>
        <w:t>0元</w:t>
      </w:r>
    </w:p>
    <w:p>
      <w:pPr>
        <w:adjustRightInd w:val="0"/>
        <w:snapToGrid w:val="0"/>
        <w:spacing w:line="560" w:lineRule="exact"/>
        <w:ind w:firstLine="560" w:firstLineChars="200"/>
        <w:outlineLvl w:val="1"/>
        <w:rPr>
          <w:rFonts w:ascii="黑体" w:hAnsi="黑体" w:eastAsia="黑体" w:cs="黑体"/>
          <w:sz w:val="28"/>
          <w:szCs w:val="28"/>
        </w:rPr>
      </w:pPr>
      <w:bookmarkStart w:id="4" w:name="_Toc27568"/>
      <w:r>
        <w:rPr>
          <w:rFonts w:hint="eastAsia" w:ascii="黑体" w:hAnsi="黑体" w:eastAsia="黑体" w:cs="黑体"/>
          <w:sz w:val="28"/>
          <w:szCs w:val="28"/>
        </w:rPr>
        <w:t>四、响应文件递交</w:t>
      </w:r>
      <w:bookmarkEnd w:id="4"/>
    </w:p>
    <w:p>
      <w:pPr>
        <w:adjustRightInd w:val="0"/>
        <w:snapToGrid w:val="0"/>
        <w:spacing w:line="560" w:lineRule="exact"/>
        <w:ind w:firstLine="562" w:firstLineChars="200"/>
        <w:rPr>
          <w:rFonts w:ascii="楷体_GB2312" w:hAnsi="宋体" w:eastAsia="楷体_GB2312"/>
          <w:sz w:val="28"/>
          <w:szCs w:val="28"/>
        </w:rPr>
      </w:pPr>
      <w:r>
        <w:rPr>
          <w:rFonts w:hint="eastAsia" w:ascii="楷体_GB2312" w:hAnsi="宋体" w:eastAsia="楷体_GB2312"/>
          <w:b/>
          <w:bCs/>
          <w:sz w:val="28"/>
          <w:szCs w:val="28"/>
        </w:rPr>
        <w:t>递交时间：</w:t>
      </w:r>
      <w:r>
        <w:rPr>
          <w:rFonts w:hint="eastAsia" w:ascii="楷体_GB2312" w:hAnsi="宋体" w:eastAsia="楷体_GB2312"/>
          <w:sz w:val="28"/>
          <w:szCs w:val="28"/>
        </w:rPr>
        <w:t>2021年8月</w:t>
      </w:r>
      <w:r>
        <w:rPr>
          <w:rFonts w:hint="eastAsia" w:ascii="楷体_GB2312" w:hAnsi="宋体" w:eastAsia="楷体_GB2312"/>
          <w:sz w:val="28"/>
          <w:szCs w:val="28"/>
          <w:lang w:val="en-US" w:eastAsia="zh-CN"/>
        </w:rPr>
        <w:t>3</w:t>
      </w:r>
      <w:r>
        <w:rPr>
          <w:rFonts w:hint="eastAsia" w:ascii="楷体_GB2312" w:hAnsi="宋体" w:eastAsia="楷体_GB2312"/>
          <w:sz w:val="28"/>
          <w:szCs w:val="28"/>
        </w:rPr>
        <w:t>日</w:t>
      </w:r>
      <w:bookmarkStart w:id="26" w:name="_GoBack"/>
      <w:bookmarkEnd w:id="26"/>
      <w:r>
        <w:rPr>
          <w:rFonts w:hint="eastAsia" w:ascii="楷体_GB2312" w:hAnsi="宋体" w:eastAsia="楷体_GB2312"/>
          <w:sz w:val="28"/>
          <w:szCs w:val="28"/>
        </w:rPr>
        <w:t>上午</w:t>
      </w:r>
      <w:r>
        <w:rPr>
          <w:rFonts w:hint="eastAsia" w:ascii="楷体_GB2312" w:hAnsi="宋体" w:eastAsia="楷体_GB2312"/>
          <w:sz w:val="28"/>
          <w:szCs w:val="28"/>
          <w:lang w:val="en-US" w:eastAsia="zh-CN"/>
        </w:rPr>
        <w:t>8：00-</w:t>
      </w:r>
      <w:r>
        <w:rPr>
          <w:rFonts w:hint="eastAsia" w:ascii="楷体_GB2312" w:hAnsi="宋体" w:eastAsia="楷体_GB2312"/>
          <w:sz w:val="28"/>
          <w:szCs w:val="28"/>
        </w:rPr>
        <w:t>8：30，逾期概不受理</w:t>
      </w:r>
    </w:p>
    <w:p>
      <w:pPr>
        <w:adjustRightInd w:val="0"/>
        <w:snapToGrid w:val="0"/>
        <w:spacing w:line="560" w:lineRule="exact"/>
        <w:ind w:firstLine="562" w:firstLineChars="200"/>
        <w:rPr>
          <w:rFonts w:hint="eastAsia" w:ascii="楷体_GB2312" w:hAnsi="宋体" w:eastAsia="楷体_GB2312"/>
          <w:sz w:val="28"/>
          <w:szCs w:val="28"/>
        </w:rPr>
      </w:pPr>
      <w:r>
        <w:rPr>
          <w:rFonts w:hint="eastAsia" w:ascii="楷体_GB2312" w:hAnsi="宋体" w:eastAsia="楷体_GB2312"/>
          <w:b/>
          <w:bCs/>
          <w:sz w:val="28"/>
          <w:szCs w:val="28"/>
        </w:rPr>
        <w:t>递交地点：</w:t>
      </w:r>
      <w:r>
        <w:rPr>
          <w:rFonts w:hint="eastAsia" w:ascii="楷体_GB2312" w:hAnsi="宋体" w:eastAsia="楷体_GB2312"/>
          <w:sz w:val="28"/>
          <w:szCs w:val="28"/>
        </w:rPr>
        <w:t>北京市朝阳区三台山路甲3号208会议室（北京市政路桥建材集团有限公司）</w:t>
      </w:r>
    </w:p>
    <w:p>
      <w:pPr>
        <w:adjustRightInd w:val="0"/>
        <w:snapToGrid w:val="0"/>
        <w:spacing w:line="560" w:lineRule="exact"/>
        <w:ind w:firstLine="562" w:firstLineChars="200"/>
        <w:rPr>
          <w:rFonts w:hint="default" w:ascii="楷体_GB2312" w:hAnsi="宋体" w:eastAsia="楷体_GB2312"/>
          <w:b/>
          <w:bCs/>
          <w:sz w:val="28"/>
          <w:szCs w:val="28"/>
          <w:lang w:val="en-US" w:eastAsia="zh-CN"/>
        </w:rPr>
      </w:pPr>
      <w:r>
        <w:rPr>
          <w:rFonts w:hint="eastAsia" w:ascii="楷体_GB2312" w:hAnsi="宋体" w:eastAsia="楷体_GB2312"/>
          <w:b/>
          <w:bCs/>
          <w:sz w:val="28"/>
          <w:szCs w:val="28"/>
          <w:lang w:val="en-US" w:eastAsia="zh-CN"/>
        </w:rPr>
        <w:t>递交方式：</w:t>
      </w:r>
      <w:r>
        <w:rPr>
          <w:rFonts w:hint="eastAsia" w:ascii="楷体_GB2312" w:hAnsi="宋体" w:eastAsia="楷体_GB2312"/>
          <w:b w:val="0"/>
          <w:bCs w:val="0"/>
          <w:sz w:val="28"/>
          <w:szCs w:val="28"/>
          <w:lang w:val="en-US" w:eastAsia="zh-CN"/>
        </w:rPr>
        <w:t>在截止时间前将响应文件现场递交至采购人</w:t>
      </w:r>
    </w:p>
    <w:p>
      <w:pPr>
        <w:adjustRightInd w:val="0"/>
        <w:snapToGrid w:val="0"/>
        <w:spacing w:line="560" w:lineRule="exact"/>
        <w:ind w:firstLine="560" w:firstLineChars="200"/>
        <w:outlineLvl w:val="1"/>
        <w:rPr>
          <w:rFonts w:ascii="黑体" w:hAnsi="黑体" w:eastAsia="黑体" w:cs="黑体"/>
          <w:sz w:val="28"/>
          <w:szCs w:val="28"/>
        </w:rPr>
      </w:pPr>
      <w:bookmarkStart w:id="5" w:name="_Toc3335"/>
      <w:r>
        <w:rPr>
          <w:rFonts w:hint="eastAsia" w:ascii="黑体" w:hAnsi="黑体" w:eastAsia="黑体" w:cs="黑体"/>
          <w:sz w:val="28"/>
          <w:szCs w:val="28"/>
        </w:rPr>
        <w:t>五、磋商开启</w:t>
      </w:r>
      <w:bookmarkEnd w:id="5"/>
    </w:p>
    <w:p>
      <w:pPr>
        <w:adjustRightInd w:val="0"/>
        <w:snapToGrid w:val="0"/>
        <w:spacing w:line="560" w:lineRule="exact"/>
        <w:ind w:firstLine="562" w:firstLineChars="200"/>
        <w:rPr>
          <w:rFonts w:ascii="楷体_GB2312" w:hAnsi="宋体" w:eastAsia="楷体_GB2312"/>
          <w:sz w:val="28"/>
          <w:szCs w:val="28"/>
        </w:rPr>
      </w:pPr>
      <w:r>
        <w:rPr>
          <w:rFonts w:hint="eastAsia" w:ascii="楷体_GB2312" w:hAnsi="宋体" w:eastAsia="楷体_GB2312"/>
          <w:b/>
          <w:bCs/>
          <w:sz w:val="28"/>
          <w:szCs w:val="28"/>
        </w:rPr>
        <w:t>磋商时间：</w:t>
      </w:r>
      <w:r>
        <w:rPr>
          <w:rFonts w:hint="eastAsia" w:ascii="楷体_GB2312" w:hAnsi="宋体" w:eastAsia="楷体_GB2312"/>
          <w:sz w:val="28"/>
          <w:szCs w:val="28"/>
        </w:rPr>
        <w:t>2021年8月</w:t>
      </w:r>
      <w:r>
        <w:rPr>
          <w:rFonts w:hint="eastAsia" w:ascii="楷体_GB2312" w:hAnsi="宋体" w:eastAsia="楷体_GB2312"/>
          <w:sz w:val="28"/>
          <w:szCs w:val="28"/>
          <w:lang w:val="en-US" w:eastAsia="zh-CN"/>
        </w:rPr>
        <w:t>3</w:t>
      </w:r>
      <w:r>
        <w:rPr>
          <w:rFonts w:hint="eastAsia" w:ascii="楷体_GB2312" w:hAnsi="宋体" w:eastAsia="楷体_GB2312"/>
          <w:sz w:val="28"/>
          <w:szCs w:val="28"/>
        </w:rPr>
        <w:t>日上午</w:t>
      </w:r>
      <w:r>
        <w:rPr>
          <w:rFonts w:hint="eastAsia" w:ascii="楷体_GB2312" w:hAnsi="宋体" w:eastAsia="楷体_GB2312"/>
          <w:sz w:val="28"/>
          <w:szCs w:val="28"/>
          <w:lang w:val="en-US" w:eastAsia="zh-CN"/>
        </w:rPr>
        <w:t>8</w:t>
      </w:r>
      <w:r>
        <w:rPr>
          <w:rFonts w:hint="eastAsia" w:ascii="楷体_GB2312" w:hAnsi="宋体" w:eastAsia="楷体_GB2312"/>
          <w:sz w:val="28"/>
          <w:szCs w:val="28"/>
        </w:rPr>
        <w:t>：</w:t>
      </w:r>
      <w:r>
        <w:rPr>
          <w:rFonts w:hint="eastAsia" w:ascii="楷体_GB2312" w:hAnsi="宋体" w:eastAsia="楷体_GB2312"/>
          <w:sz w:val="28"/>
          <w:szCs w:val="28"/>
          <w:lang w:val="en-US" w:eastAsia="zh-CN"/>
        </w:rPr>
        <w:t>4</w:t>
      </w:r>
      <w:r>
        <w:rPr>
          <w:rFonts w:hint="eastAsia" w:ascii="楷体_GB2312" w:hAnsi="宋体" w:eastAsia="楷体_GB2312"/>
          <w:sz w:val="28"/>
          <w:szCs w:val="28"/>
        </w:rPr>
        <w:t>0</w:t>
      </w:r>
    </w:p>
    <w:p>
      <w:pPr>
        <w:adjustRightInd w:val="0"/>
        <w:snapToGrid w:val="0"/>
        <w:spacing w:line="560" w:lineRule="exact"/>
        <w:ind w:firstLine="562" w:firstLineChars="200"/>
        <w:rPr>
          <w:rFonts w:ascii="楷体_GB2312" w:hAnsi="宋体" w:eastAsia="楷体_GB2312"/>
          <w:sz w:val="28"/>
          <w:szCs w:val="28"/>
        </w:rPr>
      </w:pPr>
      <w:r>
        <w:rPr>
          <w:rFonts w:hint="eastAsia" w:ascii="楷体_GB2312" w:hAnsi="宋体" w:eastAsia="楷体_GB2312"/>
          <w:b/>
          <w:bCs/>
          <w:sz w:val="28"/>
          <w:szCs w:val="28"/>
        </w:rPr>
        <w:t>磋商地点：</w:t>
      </w:r>
      <w:r>
        <w:rPr>
          <w:rFonts w:hint="eastAsia" w:ascii="楷体_GB2312" w:hAnsi="宋体" w:eastAsia="楷体_GB2312"/>
          <w:sz w:val="28"/>
          <w:szCs w:val="28"/>
        </w:rPr>
        <w:t>北京市朝阳区三台山路甲3号208会议室（北京市政路桥建材集团有限公司）</w:t>
      </w:r>
    </w:p>
    <w:p>
      <w:pPr>
        <w:adjustRightInd w:val="0"/>
        <w:snapToGrid w:val="0"/>
        <w:spacing w:line="560" w:lineRule="exact"/>
        <w:ind w:firstLine="560" w:firstLineChars="200"/>
        <w:outlineLvl w:val="1"/>
        <w:rPr>
          <w:rFonts w:ascii="黑体" w:hAnsi="黑体" w:eastAsia="黑体" w:cs="黑体"/>
          <w:sz w:val="28"/>
          <w:szCs w:val="28"/>
        </w:rPr>
      </w:pPr>
      <w:bookmarkStart w:id="6" w:name="_Toc4337"/>
      <w:r>
        <w:rPr>
          <w:rFonts w:hint="eastAsia" w:ascii="黑体" w:hAnsi="黑体" w:eastAsia="黑体" w:cs="黑体"/>
          <w:sz w:val="28"/>
          <w:szCs w:val="28"/>
        </w:rPr>
        <w:t>六、其他事项</w:t>
      </w:r>
      <w:bookmarkEnd w:id="6"/>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1.供应商如对磋商公告及文件有疑异，请</w:t>
      </w:r>
      <w:r>
        <w:rPr>
          <w:rFonts w:hint="eastAsia" w:ascii="楷体_GB2312" w:hAnsi="宋体" w:eastAsia="楷体_GB2312"/>
          <w:kern w:val="2"/>
          <w:sz w:val="28"/>
          <w:szCs w:val="28"/>
          <w:lang w:val="en-US" w:eastAsia="zh-CN"/>
        </w:rPr>
        <w:t>在规定时间内</w:t>
      </w:r>
      <w:r>
        <w:rPr>
          <w:rFonts w:hint="eastAsia" w:ascii="楷体_GB2312" w:hAnsi="宋体" w:eastAsia="楷体_GB2312"/>
          <w:kern w:val="2"/>
          <w:sz w:val="28"/>
          <w:szCs w:val="28"/>
        </w:rPr>
        <w:t>以邮件形式向采购人问询，采购人将及时予以答复。</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2.无论中标与否，供应商应自行承担此次</w:t>
      </w:r>
      <w:r>
        <w:rPr>
          <w:rFonts w:hint="eastAsia" w:ascii="楷体_GB2312" w:hAnsi="宋体" w:eastAsia="楷体_GB2312"/>
          <w:kern w:val="2"/>
          <w:sz w:val="28"/>
          <w:szCs w:val="28"/>
          <w:lang w:val="en-US" w:eastAsia="zh-CN"/>
        </w:rPr>
        <w:t>响应</w:t>
      </w:r>
      <w:r>
        <w:rPr>
          <w:rFonts w:hint="eastAsia" w:ascii="楷体_GB2312" w:hAnsi="宋体" w:eastAsia="楷体_GB2312"/>
          <w:kern w:val="2"/>
          <w:sz w:val="28"/>
          <w:szCs w:val="28"/>
        </w:rPr>
        <w:t>涉及的所有费用。</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3.本次磋商事宜的解释权归属北京市政路桥建材集团有限公司。</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4.采购人联系方式：</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采购人：北京市政路桥建材集团有限公司</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联 系 人：尹路杨</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联系电话：17801022876</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电子邮箱：jcsszy2021@163.com</w:t>
      </w:r>
    </w:p>
    <w:p>
      <w:pPr>
        <w:pStyle w:val="9"/>
        <w:widowControl/>
        <w:spacing w:beforeAutospacing="0" w:afterAutospacing="0" w:line="560" w:lineRule="exact"/>
        <w:ind w:firstLine="560" w:firstLineChars="200"/>
        <w:jc w:val="both"/>
        <w:rPr>
          <w:rFonts w:ascii="楷体_GB2312" w:hAnsi="宋体" w:eastAsia="楷体_GB2312"/>
          <w:kern w:val="2"/>
          <w:sz w:val="28"/>
          <w:szCs w:val="28"/>
        </w:rPr>
      </w:pPr>
      <w:r>
        <w:rPr>
          <w:rFonts w:hint="eastAsia" w:ascii="楷体_GB2312" w:hAnsi="宋体" w:eastAsia="楷体_GB2312"/>
          <w:kern w:val="2"/>
          <w:sz w:val="28"/>
          <w:szCs w:val="28"/>
        </w:rPr>
        <w:t>联系地址：北京市朝阳区三台山路甲3号411室</w:t>
      </w:r>
    </w:p>
    <w:p>
      <w:pPr>
        <w:adjustRightInd w:val="0"/>
        <w:snapToGrid w:val="0"/>
        <w:spacing w:line="560" w:lineRule="exact"/>
      </w:pPr>
    </w:p>
    <w:p>
      <w:pPr>
        <w:adjustRightInd w:val="0"/>
        <w:snapToGrid w:val="0"/>
        <w:spacing w:line="560" w:lineRule="exact"/>
        <w:ind w:firstLine="420" w:firstLineChars="200"/>
      </w:pPr>
    </w:p>
    <w:p>
      <w:pPr>
        <w:pStyle w:val="9"/>
        <w:widowControl/>
        <w:spacing w:beforeAutospacing="0" w:afterAutospacing="0" w:line="540" w:lineRule="exact"/>
        <w:ind w:firstLine="560" w:firstLineChars="200"/>
        <w:jc w:val="right"/>
        <w:rPr>
          <w:rFonts w:ascii="楷体_GB2312" w:hAnsi="宋体" w:eastAsia="楷体_GB2312"/>
          <w:kern w:val="2"/>
          <w:sz w:val="28"/>
          <w:szCs w:val="28"/>
        </w:rPr>
      </w:pPr>
      <w:r>
        <w:rPr>
          <w:rFonts w:hint="eastAsia" w:ascii="楷体_GB2312" w:hAnsi="宋体" w:eastAsia="楷体_GB2312"/>
          <w:kern w:val="2"/>
          <w:sz w:val="28"/>
          <w:szCs w:val="28"/>
        </w:rPr>
        <w:t>北京市政路桥建材集团有限公司</w:t>
      </w:r>
    </w:p>
    <w:p>
      <w:pPr>
        <w:pStyle w:val="9"/>
        <w:widowControl/>
        <w:spacing w:beforeAutospacing="0" w:afterAutospacing="0" w:line="540" w:lineRule="exact"/>
        <w:ind w:firstLine="560" w:firstLineChars="200"/>
        <w:jc w:val="center"/>
        <w:rPr>
          <w:rFonts w:ascii="楷体_GB2312" w:hAnsi="宋体" w:eastAsia="楷体_GB2312"/>
          <w:kern w:val="2"/>
          <w:sz w:val="28"/>
          <w:szCs w:val="28"/>
        </w:rPr>
      </w:pPr>
      <w:r>
        <w:rPr>
          <w:rFonts w:hint="eastAsia" w:ascii="楷体_GB2312" w:hAnsi="宋体" w:eastAsia="楷体_GB2312"/>
          <w:kern w:val="2"/>
          <w:sz w:val="28"/>
          <w:szCs w:val="28"/>
        </w:rPr>
        <w:t xml:space="preserve">                                 2021年</w:t>
      </w:r>
      <w:r>
        <w:rPr>
          <w:rFonts w:hint="eastAsia" w:ascii="楷体_GB2312" w:hAnsi="宋体" w:eastAsia="楷体_GB2312"/>
          <w:kern w:val="2"/>
          <w:sz w:val="28"/>
          <w:szCs w:val="28"/>
          <w:lang w:val="en-US" w:eastAsia="zh-CN"/>
        </w:rPr>
        <w:t>7</w:t>
      </w:r>
      <w:r>
        <w:rPr>
          <w:rFonts w:hint="eastAsia" w:ascii="楷体_GB2312" w:hAnsi="宋体" w:eastAsia="楷体_GB2312"/>
          <w:kern w:val="2"/>
          <w:sz w:val="28"/>
          <w:szCs w:val="28"/>
        </w:rPr>
        <w:t>月</w:t>
      </w:r>
      <w:r>
        <w:rPr>
          <w:rFonts w:hint="eastAsia" w:ascii="楷体_GB2312" w:hAnsi="宋体" w:eastAsia="楷体_GB2312"/>
          <w:kern w:val="2"/>
          <w:sz w:val="28"/>
          <w:szCs w:val="28"/>
          <w:lang w:val="en-US" w:eastAsia="zh-CN"/>
        </w:rPr>
        <w:t>20</w:t>
      </w:r>
      <w:r>
        <w:rPr>
          <w:rFonts w:hint="eastAsia" w:ascii="楷体_GB2312" w:hAnsi="宋体" w:eastAsia="楷体_GB2312"/>
          <w:kern w:val="2"/>
          <w:sz w:val="28"/>
          <w:szCs w:val="28"/>
        </w:rPr>
        <w:t>日</w:t>
      </w:r>
    </w:p>
    <w:p>
      <w:pPr>
        <w:adjustRightInd w:val="0"/>
        <w:snapToGrid w:val="0"/>
        <w:spacing w:line="360" w:lineRule="auto"/>
      </w:pPr>
    </w:p>
    <w:p>
      <w:pPr>
        <w:adjustRightInd w:val="0"/>
        <w:snapToGrid w:val="0"/>
        <w:spacing w:before="156" w:beforeLines="50" w:after="156" w:afterLines="50" w:line="360" w:lineRule="auto"/>
        <w:jc w:val="center"/>
        <w:outlineLvl w:val="0"/>
        <w:rPr>
          <w:rFonts w:hint="eastAsia" w:ascii="黑体" w:hAnsi="黑体" w:eastAsia="黑体" w:cs="黑体"/>
          <w:sz w:val="32"/>
          <w:szCs w:val="32"/>
        </w:rPr>
      </w:pPr>
    </w:p>
    <w:p>
      <w:pPr>
        <w:adjustRightInd w:val="0"/>
        <w:snapToGrid w:val="0"/>
        <w:spacing w:before="156" w:beforeLines="50" w:after="156" w:afterLines="50" w:line="360" w:lineRule="auto"/>
        <w:jc w:val="center"/>
        <w:outlineLvl w:val="0"/>
      </w:pPr>
      <w:bookmarkStart w:id="7" w:name="_Toc4757"/>
      <w:r>
        <w:rPr>
          <w:rFonts w:hint="eastAsia" w:ascii="黑体" w:hAnsi="黑体" w:eastAsia="黑体" w:cs="黑体"/>
          <w:sz w:val="32"/>
          <w:szCs w:val="32"/>
        </w:rPr>
        <w:t>第二章  采购项目内容</w:t>
      </w:r>
      <w:bookmarkEnd w:id="7"/>
    </w:p>
    <w:p>
      <w:pPr>
        <w:adjustRightInd w:val="0"/>
        <w:snapToGrid w:val="0"/>
        <w:spacing w:line="560" w:lineRule="exact"/>
        <w:outlineLvl w:val="1"/>
      </w:pPr>
      <w:r>
        <w:rPr>
          <w:rFonts w:hint="eastAsia"/>
        </w:rPr>
        <w:t xml:space="preserve"> </w:t>
      </w:r>
      <w:r>
        <w:t xml:space="preserve">  </w:t>
      </w:r>
      <w:r>
        <w:rPr>
          <w:rFonts w:ascii="黑体" w:hAnsi="黑体" w:eastAsia="黑体" w:cs="黑体"/>
          <w:sz w:val="28"/>
          <w:szCs w:val="28"/>
        </w:rPr>
        <w:t xml:space="preserve"> </w:t>
      </w:r>
      <w:bookmarkStart w:id="8" w:name="_Toc22005"/>
      <w:r>
        <w:rPr>
          <w:rFonts w:hint="eastAsia" w:ascii="黑体" w:hAnsi="黑体" w:eastAsia="黑体" w:cs="黑体"/>
          <w:sz w:val="28"/>
          <w:szCs w:val="28"/>
        </w:rPr>
        <w:t>一、采购人情况说明</w:t>
      </w:r>
      <w:bookmarkEnd w:id="8"/>
    </w:p>
    <w:p>
      <w:pPr>
        <w:spacing w:line="560" w:lineRule="exact"/>
        <w:ind w:firstLine="573"/>
        <w:rPr>
          <w:rFonts w:ascii="楷体_GB2312" w:hAnsi="宋体" w:eastAsia="楷体_GB2312"/>
          <w:b/>
          <w:bCs/>
          <w:sz w:val="28"/>
          <w:szCs w:val="28"/>
        </w:rPr>
      </w:pPr>
      <w:r>
        <w:rPr>
          <w:rFonts w:hint="eastAsia" w:ascii="楷体_GB2312" w:hAnsi="宋体" w:eastAsia="楷体_GB2312"/>
          <w:b/>
          <w:bCs/>
          <w:sz w:val="28"/>
          <w:szCs w:val="28"/>
        </w:rPr>
        <w:t>1.基本情况</w:t>
      </w:r>
    </w:p>
    <w:p>
      <w:pPr>
        <w:spacing w:line="560" w:lineRule="exact"/>
        <w:ind w:firstLine="573"/>
        <w:rPr>
          <w:rFonts w:ascii="楷体_GB2312" w:hAnsi="宋体" w:eastAsia="楷体_GB2312"/>
          <w:sz w:val="28"/>
          <w:szCs w:val="28"/>
        </w:rPr>
      </w:pPr>
      <w:r>
        <w:rPr>
          <w:rFonts w:hint="eastAsia" w:ascii="楷体_GB2312" w:hAnsi="宋体" w:eastAsia="楷体_GB2312"/>
          <w:sz w:val="28"/>
          <w:szCs w:val="28"/>
        </w:rPr>
        <w:t>采购人成立于2007年，注册资本44800万元，员工一千余人，公司类型为有限责任公司（国有控股），股东为北京市政路桥股份有限公司和北京市政建设集团有限责任公司</w:t>
      </w:r>
      <w:r>
        <w:rPr>
          <w:rFonts w:hint="eastAsia" w:ascii="楷体_GB2312" w:hAnsi="宋体" w:eastAsia="楷体_GB2312"/>
          <w:sz w:val="28"/>
          <w:szCs w:val="28"/>
          <w:lang w:eastAsia="zh-CN"/>
        </w:rPr>
        <w:t>，</w:t>
      </w:r>
      <w:r>
        <w:rPr>
          <w:rFonts w:hint="eastAsia" w:ascii="楷体_GB2312" w:hAnsi="宋体" w:eastAsia="楷体_GB2312"/>
          <w:sz w:val="28"/>
          <w:szCs w:val="28"/>
        </w:rPr>
        <w:t>地址</w:t>
      </w:r>
      <w:r>
        <w:rPr>
          <w:rFonts w:hint="eastAsia" w:ascii="楷体_GB2312" w:hAnsi="宋体" w:eastAsia="楷体_GB2312"/>
          <w:sz w:val="28"/>
          <w:szCs w:val="28"/>
          <w:lang w:val="en-US" w:eastAsia="zh-CN"/>
        </w:rPr>
        <w:t>为</w:t>
      </w:r>
      <w:r>
        <w:rPr>
          <w:rFonts w:hint="eastAsia" w:ascii="楷体_GB2312" w:hAnsi="宋体" w:eastAsia="楷体_GB2312"/>
          <w:sz w:val="28"/>
          <w:szCs w:val="28"/>
        </w:rPr>
        <w:t>北京市朝阳区三台山路甲3号（100176）。采购人是集道路路面材料研发、生产、技术服务为一体的北京市国有大型高新技术企业，主业为沥青混合料生产和销售，年供应量占北京市场份额55%以上。“十四五”期间将形成沥青混合料生产、路面材料研发与检测、原材生产及销售、沥青混合料绿色运输</w:t>
      </w:r>
      <w:r>
        <w:rPr>
          <w:rFonts w:ascii="楷体_GB2312" w:hAnsi="宋体" w:eastAsia="楷体_GB2312"/>
          <w:sz w:val="28"/>
          <w:szCs w:val="28"/>
        </w:rPr>
        <w:t>等</w:t>
      </w:r>
      <w:r>
        <w:rPr>
          <w:rFonts w:hint="eastAsia" w:ascii="楷体_GB2312" w:hAnsi="宋体" w:eastAsia="楷体_GB2312"/>
          <w:sz w:val="28"/>
          <w:szCs w:val="28"/>
        </w:rPr>
        <w:t>业务板块。</w:t>
      </w:r>
    </w:p>
    <w:p>
      <w:pPr>
        <w:spacing w:line="560" w:lineRule="exact"/>
        <w:ind w:firstLine="573"/>
        <w:rPr>
          <w:rFonts w:ascii="楷体_GB2312" w:hAnsi="宋体" w:eastAsia="楷体_GB2312"/>
          <w:b/>
          <w:bCs/>
          <w:sz w:val="28"/>
          <w:szCs w:val="28"/>
        </w:rPr>
      </w:pPr>
      <w:r>
        <w:rPr>
          <w:rFonts w:ascii="楷体_GB2312" w:hAnsi="宋体" w:eastAsia="楷体_GB2312"/>
          <w:b/>
          <w:bCs/>
          <w:sz w:val="28"/>
          <w:szCs w:val="28"/>
        </w:rPr>
        <w:t>2.</w:t>
      </w:r>
      <w:r>
        <w:rPr>
          <w:rFonts w:hint="eastAsia" w:ascii="楷体_GB2312" w:hAnsi="宋体" w:eastAsia="楷体_GB2312"/>
          <w:b/>
          <w:bCs/>
          <w:sz w:val="28"/>
          <w:szCs w:val="28"/>
        </w:rPr>
        <w:t>主要财务指标</w:t>
      </w:r>
    </w:p>
    <w:p>
      <w:pPr>
        <w:spacing w:line="560" w:lineRule="exact"/>
        <w:ind w:firstLine="573"/>
        <w:rPr>
          <w:rFonts w:ascii="楷体_GB2312" w:hAnsi="宋体" w:eastAsia="楷体_GB2312"/>
          <w:sz w:val="28"/>
          <w:szCs w:val="28"/>
        </w:rPr>
      </w:pPr>
      <w:r>
        <w:rPr>
          <w:rFonts w:hint="eastAsia" w:ascii="楷体_GB2312" w:hAnsi="宋体" w:eastAsia="楷体_GB2312"/>
          <w:sz w:val="28"/>
          <w:szCs w:val="28"/>
        </w:rPr>
        <w:t>“十三五”期间，采购人经营情况持续向好，营业收入和利润总额持续攀升，分别由2016年的10.9亿元和0.8亿元上升为2020年的15.7亿元和1亿元。截止2020年末，采购人资产总额28.8亿元，所有者权益9.6亿元，盈利能力保持较高水平，平均净资产收益率超过9%，资产负债率持续下降，处于行业优良水平。</w:t>
      </w:r>
    </w:p>
    <w:p>
      <w:pPr>
        <w:spacing w:line="560" w:lineRule="exact"/>
        <w:ind w:firstLine="573"/>
        <w:rPr>
          <w:rFonts w:ascii="楷体_GB2312" w:hAnsi="宋体" w:eastAsia="楷体_GB2312"/>
          <w:sz w:val="28"/>
          <w:szCs w:val="28"/>
        </w:rPr>
      </w:pPr>
      <w:r>
        <w:rPr>
          <w:rFonts w:ascii="楷体_GB2312" w:hAnsi="宋体" w:eastAsia="楷体_GB2312"/>
          <w:b/>
          <w:bCs/>
          <w:sz w:val="28"/>
          <w:szCs w:val="28"/>
        </w:rPr>
        <w:t>3.</w:t>
      </w:r>
      <w:r>
        <w:rPr>
          <w:rFonts w:hint="eastAsia" w:ascii="楷体_GB2312" w:hAnsi="宋体" w:eastAsia="楷体_GB2312"/>
          <w:b/>
          <w:bCs/>
          <w:sz w:val="28"/>
          <w:szCs w:val="28"/>
        </w:rPr>
        <w:t>分支机构范围</w:t>
      </w:r>
    </w:p>
    <w:p>
      <w:pPr>
        <w:spacing w:line="560" w:lineRule="exact"/>
        <w:ind w:firstLine="573"/>
        <w:rPr>
          <w:rFonts w:ascii="楷体_GB2312" w:hAnsi="宋体" w:eastAsia="楷体_GB2312"/>
          <w:sz w:val="28"/>
          <w:szCs w:val="28"/>
        </w:rPr>
      </w:pPr>
      <w:r>
        <w:rPr>
          <w:rFonts w:hint="eastAsia" w:ascii="楷体_GB2312" w:hAnsi="宋体" w:eastAsia="楷体_GB2312"/>
          <w:sz w:val="28"/>
          <w:szCs w:val="28"/>
        </w:rPr>
        <w:t>采购人所属全资企业和控股企业如下表所示：</w:t>
      </w:r>
    </w:p>
    <w:tbl>
      <w:tblPr>
        <w:tblStyle w:val="11"/>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Align w:val="center"/>
          </w:tcPr>
          <w:p>
            <w:pPr>
              <w:spacing w:line="520" w:lineRule="exact"/>
              <w:jc w:val="center"/>
              <w:rPr>
                <w:rFonts w:ascii="楷体_GB2312" w:hAnsi="宋体" w:eastAsia="楷体_GB2312"/>
                <w:b/>
                <w:bCs/>
                <w:sz w:val="28"/>
                <w:szCs w:val="28"/>
              </w:rPr>
            </w:pPr>
            <w:r>
              <w:rPr>
                <w:rFonts w:hint="eastAsia" w:ascii="楷体_GB2312" w:hAnsi="宋体" w:eastAsia="楷体_GB2312"/>
                <w:b/>
                <w:bCs/>
                <w:sz w:val="28"/>
                <w:szCs w:val="28"/>
              </w:rPr>
              <w:t>类别</w:t>
            </w:r>
          </w:p>
        </w:tc>
        <w:tc>
          <w:tcPr>
            <w:tcW w:w="5991" w:type="dxa"/>
            <w:vAlign w:val="center"/>
          </w:tcPr>
          <w:p>
            <w:pPr>
              <w:spacing w:line="520" w:lineRule="exact"/>
              <w:jc w:val="center"/>
              <w:rPr>
                <w:rFonts w:ascii="楷体_GB2312" w:hAnsi="宋体" w:eastAsia="楷体_GB2312"/>
                <w:b/>
                <w:bCs/>
                <w:sz w:val="28"/>
                <w:szCs w:val="28"/>
              </w:rPr>
            </w:pPr>
            <w:r>
              <w:rPr>
                <w:rFonts w:hint="eastAsia" w:ascii="楷体_GB2312" w:hAnsi="宋体" w:eastAsia="楷体_GB2312"/>
                <w:b/>
                <w:bCs/>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restart"/>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全资企业</w:t>
            </w: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北京路新沥青混凝土有限公司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北京路新海丰沥青混凝土有限公司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北京路冠沥青制品有限公司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北京市政路桥建材集团有限公司通州沥青厂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北京市政路桥建材集团有限公司顺义沥青厂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北京市政路桥建材集团有限公司密云沥青厂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北京市政路桥建材集团有限公司房山沥青厂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北京市政路桥建材集团有限公司门头沟沥青厂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北京市政路桥建材集团有限公司昌平沥青厂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北京市政路桥建材集团有限公司路驰分公司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北京市政路桥建材集团有限公司大兴分公司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restart"/>
            <w:vAlign w:val="center"/>
          </w:tcPr>
          <w:p>
            <w:pPr>
              <w:spacing w:line="520" w:lineRule="exact"/>
              <w:jc w:val="center"/>
            </w:pPr>
            <w:r>
              <w:rPr>
                <w:rFonts w:hint="eastAsia" w:ascii="楷体_GB2312" w:hAnsi="宋体" w:eastAsia="楷体_GB2312"/>
                <w:sz w:val="28"/>
                <w:szCs w:val="28"/>
              </w:rPr>
              <w:t>控股企业</w:t>
            </w: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北京市政路桥正达道路科技有限公司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北京中栋新能源技术有限公司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9" w:type="dxa"/>
            <w:vMerge w:val="continue"/>
            <w:vAlign w:val="center"/>
          </w:tcPr>
          <w:p>
            <w:pPr>
              <w:spacing w:line="520" w:lineRule="exact"/>
              <w:jc w:val="center"/>
              <w:rPr>
                <w:rFonts w:ascii="楷体_GB2312" w:hAnsi="宋体" w:eastAsia="楷体_GB2312"/>
                <w:sz w:val="28"/>
                <w:szCs w:val="28"/>
              </w:rPr>
            </w:pPr>
          </w:p>
        </w:tc>
        <w:tc>
          <w:tcPr>
            <w:tcW w:w="5991" w:type="dxa"/>
            <w:vAlign w:val="center"/>
          </w:tcPr>
          <w:p>
            <w:pPr>
              <w:spacing w:line="520" w:lineRule="exact"/>
              <w:jc w:val="center"/>
              <w:rPr>
                <w:rFonts w:ascii="楷体_GB2312" w:hAnsi="宋体" w:eastAsia="楷体_GB2312"/>
                <w:sz w:val="28"/>
                <w:szCs w:val="28"/>
              </w:rPr>
            </w:pPr>
            <w:r>
              <w:rPr>
                <w:rFonts w:hint="eastAsia" w:ascii="楷体_GB2312" w:hAnsi="宋体" w:eastAsia="楷体_GB2312"/>
                <w:sz w:val="28"/>
                <w:szCs w:val="28"/>
              </w:rPr>
              <w:t>广州市和富市政工程有限公司</w:t>
            </w:r>
          </w:p>
        </w:tc>
      </w:tr>
    </w:tbl>
    <w:p>
      <w:pPr>
        <w:spacing w:before="156" w:beforeLines="50" w:line="560" w:lineRule="exact"/>
        <w:ind w:firstLine="560" w:firstLineChars="200"/>
        <w:outlineLvl w:val="1"/>
        <w:rPr>
          <w:rFonts w:ascii="楷体_GB2312" w:hAnsi="宋体" w:eastAsia="楷体_GB2312"/>
          <w:sz w:val="28"/>
          <w:szCs w:val="28"/>
        </w:rPr>
      </w:pPr>
      <w:bookmarkStart w:id="9" w:name="_Toc8609"/>
      <w:r>
        <w:rPr>
          <w:rFonts w:hint="eastAsia" w:ascii="黑体" w:hAnsi="黑体" w:eastAsia="黑体" w:cs="黑体"/>
          <w:sz w:val="28"/>
          <w:szCs w:val="28"/>
        </w:rPr>
        <w:t>二、项目主要内容</w:t>
      </w:r>
      <w:bookmarkEnd w:id="9"/>
    </w:p>
    <w:p>
      <w:pPr>
        <w:spacing w:line="56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本次招标的目的是从</w:t>
      </w:r>
      <w:r>
        <w:rPr>
          <w:rFonts w:hint="eastAsia" w:ascii="楷体_GB2312" w:hAnsi="宋体" w:eastAsia="楷体_GB2312"/>
          <w:sz w:val="28"/>
          <w:szCs w:val="28"/>
          <w:lang w:val="en-US" w:eastAsia="zh-CN"/>
        </w:rPr>
        <w:t>参加磋商的供应商</w:t>
      </w:r>
      <w:r>
        <w:rPr>
          <w:rFonts w:hint="eastAsia" w:ascii="楷体_GB2312" w:hAnsi="宋体" w:eastAsia="楷体_GB2312"/>
          <w:sz w:val="28"/>
          <w:szCs w:val="28"/>
        </w:rPr>
        <w:t>中选出1家公司，作为采购人IPO上市中介机构——律师事务所，在上市过程中</w:t>
      </w:r>
      <w:r>
        <w:rPr>
          <w:rFonts w:ascii="楷体_GB2312" w:hAnsi="宋体" w:eastAsia="楷体_GB2312"/>
          <w:sz w:val="28"/>
          <w:szCs w:val="28"/>
        </w:rPr>
        <w:t>提供</w:t>
      </w:r>
      <w:r>
        <w:rPr>
          <w:rFonts w:hint="eastAsia" w:ascii="楷体_GB2312" w:hAnsi="宋体" w:eastAsia="楷体_GB2312"/>
          <w:sz w:val="28"/>
          <w:szCs w:val="28"/>
        </w:rPr>
        <w:t>法律</w:t>
      </w:r>
      <w:r>
        <w:rPr>
          <w:rFonts w:ascii="楷体_GB2312" w:hAnsi="宋体" w:eastAsia="楷体_GB2312"/>
          <w:sz w:val="28"/>
          <w:szCs w:val="28"/>
        </w:rPr>
        <w:t>服务。</w:t>
      </w:r>
      <w:r>
        <w:rPr>
          <w:rFonts w:hint="eastAsia" w:ascii="楷体_GB2312" w:hAnsi="宋体" w:eastAsia="楷体_GB2312"/>
          <w:sz w:val="28"/>
          <w:szCs w:val="28"/>
        </w:rPr>
        <w:t>主要工作包括：</w:t>
      </w:r>
    </w:p>
    <w:tbl>
      <w:tblPr>
        <w:tblStyle w:val="11"/>
        <w:tblW w:w="9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610"/>
        <w:gridCol w:w="4493"/>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710" w:type="dxa"/>
            <w:vAlign w:val="center"/>
          </w:tcPr>
          <w:p>
            <w:pPr>
              <w:spacing w:line="360" w:lineRule="exact"/>
              <w:jc w:val="center"/>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项目需求</w:t>
            </w:r>
          </w:p>
        </w:tc>
        <w:tc>
          <w:tcPr>
            <w:tcW w:w="1610" w:type="dxa"/>
            <w:vAlign w:val="center"/>
          </w:tcPr>
          <w:p>
            <w:pPr>
              <w:spacing w:line="360" w:lineRule="exact"/>
              <w:jc w:val="center"/>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预计</w:t>
            </w:r>
          </w:p>
          <w:p>
            <w:pPr>
              <w:spacing w:line="360" w:lineRule="exact"/>
              <w:jc w:val="center"/>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项目排期</w:t>
            </w:r>
          </w:p>
        </w:tc>
        <w:tc>
          <w:tcPr>
            <w:tcW w:w="4493" w:type="dxa"/>
            <w:vAlign w:val="center"/>
          </w:tcPr>
          <w:p>
            <w:pPr>
              <w:spacing w:line="360" w:lineRule="exact"/>
              <w:jc w:val="center"/>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工作内容</w:t>
            </w:r>
          </w:p>
        </w:tc>
        <w:tc>
          <w:tcPr>
            <w:tcW w:w="1857" w:type="dxa"/>
            <w:vAlign w:val="center"/>
          </w:tcPr>
          <w:p>
            <w:pPr>
              <w:spacing w:line="360" w:lineRule="exact"/>
              <w:jc w:val="center"/>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启动沟通及法律支持工作</w:t>
            </w:r>
          </w:p>
        </w:tc>
        <w:tc>
          <w:tcPr>
            <w:tcW w:w="16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自项目启动起至项目结束止</w:t>
            </w: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1.与采购人及其他中介机构讨论、设计、实施改制上市总体方案，就有关问题提供专业法律意见。</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上市总体方案等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2.参与确定采购人改制上市总体时间表，并就法律工作制订详细的时间表，按计划排期完成工作。</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上市工作时间表等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3.协助采购人与股东方、有关政府部门就改制上市有关事宜进行汇报沟通。</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备忘录等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4.起草与采购人改制上市有关的各类法律文件，并协助相关方完成。</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相关法律文件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5.协助采购人解决在改制上市过程中遇到的法律问题，并取得实质效果。</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备忘录等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6.审查采购人与上市相关方的各类协议。</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备忘录等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开展法律尽职调查</w:t>
            </w:r>
          </w:p>
        </w:tc>
        <w:tc>
          <w:tcPr>
            <w:tcW w:w="16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2021年8月底前</w:t>
            </w: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针对采购人及并表范围内的子公司、相关关联方等进行法律尽职调查，核查采购人在主体资格、股权结构、持股行为、历史沿革、治理结构、独立性、关联关系、同业竞争、资产权属、债权债务关系、税务、劳动人事、房屋土地、合规经营等相关法律事项方面是否存在法律障碍或瑕疵，论证采购人IPO的法律可行性，提出解决方案和建议，协助采购人规范整改运行。</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相关问题专项备忘录</w:t>
            </w:r>
            <w:r>
              <w:rPr>
                <w:rFonts w:hint="eastAsia" w:ascii="楷体" w:hAnsi="楷体" w:eastAsia="楷体"/>
                <w:color w:val="000000" w:themeColor="text1"/>
                <w:sz w:val="28"/>
                <w:szCs w:val="28"/>
                <w:lang w:eastAsia="zh-CN"/>
                <w14:textFill>
                  <w14:solidFill>
                    <w14:schemeClr w14:val="tx1"/>
                  </w14:solidFill>
                </w14:textFill>
              </w:rPr>
              <w:t>；</w:t>
            </w:r>
            <w:r>
              <w:rPr>
                <w:rFonts w:hint="eastAsia" w:ascii="楷体" w:hAnsi="楷体" w:eastAsia="楷体"/>
                <w:color w:val="000000" w:themeColor="text1"/>
                <w:sz w:val="28"/>
                <w:szCs w:val="28"/>
                <w14:textFill>
                  <w14:solidFill>
                    <w14:schemeClr w14:val="tx1"/>
                  </w14:solidFill>
                </w14:textFill>
              </w:rPr>
              <w:t>尽职调查报告</w:t>
            </w:r>
            <w:r>
              <w:rPr>
                <w:rFonts w:hint="eastAsia" w:ascii="楷体" w:hAnsi="楷体" w:eastAsia="楷体"/>
                <w:color w:val="000000" w:themeColor="text1"/>
                <w:sz w:val="28"/>
                <w:szCs w:val="28"/>
                <w:lang w:eastAsia="zh-CN"/>
                <w14:textFill>
                  <w14:solidFill>
                    <w14:schemeClr w14:val="tx1"/>
                  </w14:solidFill>
                </w14:textFill>
              </w:rPr>
              <w:t>；</w:t>
            </w:r>
            <w:r>
              <w:rPr>
                <w:rFonts w:hint="eastAsia" w:ascii="楷体" w:hAnsi="楷体" w:eastAsia="楷体"/>
                <w:color w:val="000000" w:themeColor="text1"/>
                <w:sz w:val="28"/>
                <w:szCs w:val="28"/>
                <w14:textFill>
                  <w14:solidFill>
                    <w14:schemeClr w14:val="tx1"/>
                  </w14:solidFill>
                </w14:textFill>
              </w:rPr>
              <w:t>整改方案等相关法律文件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2.完成规范整改所需的各项政府审批、产权交割、工商变更登记等涉及的法律工作。</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备忘录等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混改引战及员工持股工作</w:t>
            </w:r>
          </w:p>
        </w:tc>
        <w:tc>
          <w:tcPr>
            <w:tcW w:w="16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2021年9月至2022年6月</w:t>
            </w: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1.根据混改及员工持股相关法规政策，起草/审查/修改采购人引进战略投资者、员工持股及混合所有制改革事项的方案及相关文件。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增资方案；员工持股方案等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2.配合采购人完成可能涉及的进场交易、审计评估、清产核资等事项，对外部投资人、员工情况进行尽职调查，参与引战协议文本起草、交易谈判等，根据证监会、交易所审核要求审核股东资格条件。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引战协议；尽职调查报告等相关法律文件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股份制改造法律支持</w:t>
            </w:r>
          </w:p>
        </w:tc>
        <w:tc>
          <w:tcPr>
            <w:tcW w:w="16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2022年7月至2023年6月</w:t>
            </w: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起草／审查／修改完善采购人改制过程中所需的各项法律文件，包括但不限于股份公司章程、股东大会议事规则、董事会议事规则、监事会议事规则、总经理工作规则、董事会各专门委员会议事规则、独立董事工作制度、对外担保管理办法、对外投资管理办法、关联交易管理办法等公司治理文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全套股份公司规范运作公司治理制度文件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2.协助采购人召集、召开董事会、监事会和股东大会会议，起草／审查／修改与改制及IPO有关股东大会、董事会、监事会会议文件。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股东大会、董事会、监事会会议文件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3.起草／审查／修改完善采购人上市过程中所需的各项法律文件，包括但不限于上市后适用的公司章程（草案）、股东大会议事规则、董事会议事规则、监事会议事规则、信息披露管理办法、董监高持股变动管理办法、募集资金管理办法等公司治理文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全套上市后适用的公司治理文件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4.起草／审查／修改审批程序中的有关申请文件，并在法律相关问题上提出意见和修改建议。</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审批程序中的有效申请文件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5.审查招股说明书法律相关章节，并对招股说明书法律风险进行评价并发表意见，协助修改相关问题。</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6.根据中国证监会、证券交易所或其他监管机构和财务顾问以及主承销商的要求，依法出具采购人IPO项目所需各类法律意见书。</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各类法律意见书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上市辅导及申报工作</w:t>
            </w:r>
          </w:p>
        </w:tc>
        <w:tc>
          <w:tcPr>
            <w:tcW w:w="16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2023年7月至2024年7月</w:t>
            </w: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1.辅导采购人的公司治理规范运作，对公司的董事（包括独立董事）、监事、 高级管理人员及主要股东的法定代表人、董事、监事、高级管理人员进行必要的法规知识培训，按照证券监管部门的要求出具辅导法律意见书/辅导验收法律文件，协助采购人通过证券监管部门的辅导验收。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辅导法律意见书；辅导验收法律文件等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2.审核 A 股发行申请文件，对报送的申请文件中每一页复印件进行鉴证，确认与原件一致，并出具鉴证意见；按照证券监管部门要求，对申请文件中董监高及股东签字盖章真实性、申请文件电子版与纸质版一致性、对采购人资产权属证明文件原附件一致性进行鉴证，并出具鉴证意见；对A股发行申请文件的真实性、准确性和完整性出具承诺书。</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针对申请文件的鉴证意见、承诺书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3.按照证券监管部门要求制作律师工作底稿、出具法律意见书、律师工作报告、股东核查报告等申报必备法律文件。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申报必备法律文件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4.根据证券监管部门要求出具上市法律意见书。</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上市法律意见书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5.针对交易所、证监会历次反馈问题进行核查，出具回复文件、补充鉴证意见等法律文件。</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回复文件、补充鉴证意见等法律文件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6.在信息披露方面(包括上市前后)为采购人提供法律咨询和相关法律服务。</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发行上市其他法律工作</w:t>
            </w:r>
          </w:p>
        </w:tc>
        <w:tc>
          <w:tcPr>
            <w:tcW w:w="1610" w:type="dxa"/>
            <w:vMerge w:val="restart"/>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2024年8月至2024年12月</w:t>
            </w: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1.与其他中介机构协调解决相关问题，协助采购人通过上市发行审核。</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2.协助承销商制定发行方案，并使之顺利完成。</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发行方案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1610" w:type="dxa"/>
            <w:vMerge w:val="continue"/>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p>
        </w:tc>
        <w:tc>
          <w:tcPr>
            <w:tcW w:w="4493" w:type="dxa"/>
            <w:vAlign w:val="center"/>
          </w:tcPr>
          <w:p>
            <w:pPr>
              <w:spacing w:line="360" w:lineRule="exac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3.为采购人领取批文出具会后事项承诺函等相关函件，审核采购人上市提交给交易所的声明承诺文件，为采购人股票发行及挂牌上市出具合规性法律意见书。</w:t>
            </w:r>
          </w:p>
        </w:tc>
        <w:tc>
          <w:tcPr>
            <w:tcW w:w="1857" w:type="dxa"/>
            <w:vAlign w:val="center"/>
          </w:tcPr>
          <w:p>
            <w:pPr>
              <w:spacing w:line="360" w:lineRule="exact"/>
              <w:jc w:val="center"/>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会后事项承诺函等相关函件；合规性法律意见书等</w:t>
            </w:r>
          </w:p>
        </w:tc>
      </w:tr>
    </w:tbl>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供应商应在合同签订后按照</w:t>
      </w:r>
      <w:r>
        <w:rPr>
          <w:rFonts w:hint="eastAsia" w:ascii="楷体_GB2312" w:hAnsi="宋体" w:eastAsia="楷体_GB2312"/>
          <w:sz w:val="28"/>
          <w:szCs w:val="28"/>
          <w:lang w:val="en-US" w:eastAsia="zh-CN"/>
        </w:rPr>
        <w:t>确定的上市时间表</w:t>
      </w:r>
      <w:r>
        <w:rPr>
          <w:rFonts w:hint="eastAsia" w:ascii="楷体_GB2312" w:hAnsi="宋体" w:eastAsia="楷体_GB2312"/>
          <w:sz w:val="28"/>
          <w:szCs w:val="28"/>
        </w:rPr>
        <w:t>为采购人提供I</w:t>
      </w:r>
      <w:r>
        <w:rPr>
          <w:rFonts w:ascii="楷体_GB2312" w:hAnsi="宋体" w:eastAsia="楷体_GB2312"/>
          <w:sz w:val="28"/>
          <w:szCs w:val="28"/>
        </w:rPr>
        <w:t>PO</w:t>
      </w:r>
      <w:r>
        <w:rPr>
          <w:rFonts w:hint="eastAsia" w:ascii="楷体_GB2312" w:hAnsi="宋体" w:eastAsia="楷体_GB2312"/>
          <w:sz w:val="28"/>
          <w:szCs w:val="28"/>
        </w:rPr>
        <w:t>上市法律服务，包括但不限于上述工作内容，并交付相关项目文件。</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hint="eastAsia"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hint="eastAsia"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spacing w:line="560" w:lineRule="exact"/>
        <w:textAlignment w:val="auto"/>
        <w:rPr>
          <w:rFonts w:ascii="楷体_GB2312" w:hAnsi="宋体" w:eastAsia="楷体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pPr>
      <w:bookmarkStart w:id="10" w:name="_Toc28969"/>
      <w:r>
        <w:rPr>
          <w:rFonts w:hint="eastAsia" w:ascii="黑体" w:hAnsi="黑体" w:eastAsia="黑体" w:cs="黑体"/>
          <w:sz w:val="32"/>
          <w:szCs w:val="32"/>
        </w:rPr>
        <w:t>第三章  供应商须知</w:t>
      </w:r>
      <w:bookmarkEnd w:id="10"/>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outlineLvl w:val="1"/>
        <w:rPr>
          <w:rFonts w:ascii="黑体" w:hAnsi="黑体" w:eastAsia="黑体"/>
          <w:sz w:val="28"/>
          <w:szCs w:val="28"/>
        </w:rPr>
      </w:pPr>
      <w:bookmarkStart w:id="11" w:name="_Toc20254"/>
      <w:r>
        <w:rPr>
          <w:rFonts w:hint="eastAsia" w:ascii="黑体" w:hAnsi="黑体" w:eastAsia="黑体"/>
          <w:sz w:val="28"/>
          <w:szCs w:val="28"/>
        </w:rPr>
        <w:t>一、</w:t>
      </w:r>
      <w:bookmarkStart w:id="12" w:name="_Toc446343548"/>
      <w:r>
        <w:rPr>
          <w:rFonts w:hint="eastAsia" w:ascii="黑体" w:hAnsi="黑体" w:eastAsia="黑体"/>
          <w:sz w:val="28"/>
          <w:szCs w:val="28"/>
        </w:rPr>
        <w:t>供应商资格和要求</w:t>
      </w:r>
      <w:bookmarkEnd w:id="11"/>
      <w:bookmarkEnd w:id="12"/>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1</w:t>
      </w:r>
      <w:r>
        <w:rPr>
          <w:rFonts w:ascii="楷体_GB2312" w:hAnsi="宋体" w:eastAsia="楷体_GB2312"/>
          <w:sz w:val="28"/>
          <w:szCs w:val="28"/>
        </w:rPr>
        <w:t>.</w:t>
      </w:r>
      <w:r>
        <w:rPr>
          <w:rFonts w:hint="eastAsia" w:ascii="楷体_GB2312" w:hAnsi="宋体" w:eastAsia="楷体_GB2312"/>
          <w:sz w:val="28"/>
          <w:szCs w:val="28"/>
        </w:rPr>
        <w:t>供应商须是在中国境内注册成立的具有有效法人资格，具有证券从业资格，</w:t>
      </w:r>
      <w:r>
        <w:rPr>
          <w:rFonts w:ascii="楷体_GB2312" w:hAnsi="宋体" w:eastAsia="楷体_GB2312"/>
          <w:sz w:val="28"/>
          <w:szCs w:val="28"/>
        </w:rPr>
        <w:t>具备</w:t>
      </w:r>
      <w:r>
        <w:rPr>
          <w:rFonts w:hint="eastAsia" w:ascii="楷体_GB2312" w:hAnsi="宋体" w:eastAsia="楷体_GB2312"/>
          <w:sz w:val="28"/>
          <w:szCs w:val="28"/>
        </w:rPr>
        <w:t>企业</w:t>
      </w:r>
      <w:r>
        <w:rPr>
          <w:rFonts w:ascii="楷体_GB2312" w:hAnsi="宋体" w:eastAsia="楷体_GB2312"/>
          <w:sz w:val="28"/>
          <w:szCs w:val="28"/>
        </w:rPr>
        <w:t>改制上市的专业</w:t>
      </w:r>
      <w:r>
        <w:rPr>
          <w:rFonts w:hint="eastAsia" w:ascii="楷体_GB2312" w:hAnsi="宋体" w:eastAsia="楷体_GB2312"/>
          <w:sz w:val="28"/>
          <w:szCs w:val="28"/>
        </w:rPr>
        <w:t>服务</w:t>
      </w:r>
      <w:r>
        <w:rPr>
          <w:rFonts w:ascii="楷体_GB2312" w:hAnsi="宋体" w:eastAsia="楷体_GB2312"/>
          <w:sz w:val="28"/>
          <w:szCs w:val="28"/>
        </w:rPr>
        <w:t>能力</w:t>
      </w:r>
      <w:r>
        <w:rPr>
          <w:rFonts w:hint="eastAsia" w:ascii="楷体_GB2312" w:hAnsi="宋体" w:eastAsia="楷体_GB2312"/>
          <w:sz w:val="28"/>
          <w:szCs w:val="28"/>
        </w:rPr>
        <w:t>，具有</w:t>
      </w:r>
      <w:r>
        <w:rPr>
          <w:rFonts w:ascii="楷体_GB2312" w:hAnsi="宋体" w:eastAsia="楷体_GB2312"/>
          <w:sz w:val="28"/>
          <w:szCs w:val="28"/>
        </w:rPr>
        <w:t>强大的专业人员队伍和工作能力，</w:t>
      </w:r>
      <w:r>
        <w:rPr>
          <w:rFonts w:hint="eastAsia" w:ascii="楷体_GB2312" w:hAnsi="宋体" w:eastAsia="楷体_GB2312"/>
          <w:sz w:val="28"/>
          <w:szCs w:val="28"/>
        </w:rPr>
        <w:t>在业内具有良好信誉和声望</w:t>
      </w:r>
      <w:r>
        <w:rPr>
          <w:rFonts w:ascii="楷体_GB2312" w:hAnsi="宋体" w:eastAsia="楷体_GB2312"/>
          <w:sz w:val="28"/>
          <w:szCs w:val="28"/>
        </w:rPr>
        <w:t>，</w:t>
      </w:r>
      <w:r>
        <w:rPr>
          <w:rFonts w:hint="eastAsia" w:ascii="楷体_GB2312" w:hAnsi="宋体" w:eastAsia="楷体_GB2312"/>
          <w:sz w:val="28"/>
          <w:szCs w:val="28"/>
        </w:rPr>
        <w:t>且近三年无严重不良执业记录的机构。其代表必须是经供应商合法授权的、能够完全代表公司行为的代表人。</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2</w:t>
      </w:r>
      <w:r>
        <w:rPr>
          <w:rFonts w:ascii="楷体_GB2312" w:hAnsi="宋体" w:eastAsia="楷体_GB2312"/>
          <w:sz w:val="28"/>
          <w:szCs w:val="28"/>
        </w:rPr>
        <w:t>.</w:t>
      </w:r>
      <w:r>
        <w:rPr>
          <w:rFonts w:hint="eastAsia" w:ascii="楷体_GB2312" w:hAnsi="宋体" w:eastAsia="楷体_GB2312"/>
          <w:sz w:val="28"/>
          <w:szCs w:val="28"/>
        </w:rPr>
        <w:t>供应商应详细阅读磋商文件中所有的事项、条款和规范要求等，采购人有权拒绝没有对竞争性磋商文件要求做出实质性响应的投标。</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3</w:t>
      </w:r>
      <w:r>
        <w:rPr>
          <w:rFonts w:ascii="楷体_GB2312" w:hAnsi="宋体" w:eastAsia="楷体_GB2312"/>
          <w:sz w:val="28"/>
          <w:szCs w:val="28"/>
        </w:rPr>
        <w:t>.</w:t>
      </w:r>
      <w:r>
        <w:rPr>
          <w:rFonts w:hint="eastAsia" w:ascii="楷体_GB2312" w:hAnsi="宋体" w:eastAsia="楷体_GB2312"/>
          <w:sz w:val="28"/>
          <w:szCs w:val="28"/>
        </w:rPr>
        <w:t>供应商所提供的资质、业绩等文件和资料必须真实准确，不得弄虚作假。一旦磋商开启并认定，</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供应商必须按照响应文件的承诺履行，所提供服务不得低于响应文件的承诺标准。</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4</w:t>
      </w:r>
      <w:r>
        <w:rPr>
          <w:rFonts w:ascii="楷体_GB2312" w:hAnsi="宋体" w:eastAsia="楷体_GB2312"/>
          <w:sz w:val="28"/>
          <w:szCs w:val="28"/>
        </w:rPr>
        <w:t>.</w:t>
      </w:r>
      <w:r>
        <w:rPr>
          <w:rFonts w:hint="eastAsia" w:ascii="楷体_GB2312" w:hAnsi="宋体" w:eastAsia="楷体_GB2312"/>
          <w:sz w:val="28"/>
          <w:szCs w:val="28"/>
        </w:rPr>
        <w:t>供应商应具有建筑材料行业企业的IPO法律服务经验。</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5</w:t>
      </w:r>
      <w:r>
        <w:rPr>
          <w:rFonts w:ascii="楷体_GB2312" w:hAnsi="宋体" w:eastAsia="楷体_GB2312"/>
          <w:sz w:val="28"/>
          <w:szCs w:val="28"/>
        </w:rPr>
        <w:t>.</w:t>
      </w:r>
      <w:r>
        <w:rPr>
          <w:rFonts w:hint="eastAsia" w:ascii="楷体_GB2312" w:hAnsi="宋体" w:eastAsia="楷体_GB2312"/>
          <w:sz w:val="28"/>
          <w:szCs w:val="28"/>
        </w:rPr>
        <w:t>拟派驻的项目负责人、现场负责人及其他团队成员应</w:t>
      </w:r>
      <w:r>
        <w:rPr>
          <w:rFonts w:ascii="楷体_GB2312" w:hAnsi="宋体" w:eastAsia="楷体_GB2312"/>
          <w:sz w:val="28"/>
          <w:szCs w:val="28"/>
        </w:rPr>
        <w:t>且具备</w:t>
      </w:r>
      <w:r>
        <w:rPr>
          <w:rFonts w:hint="eastAsia" w:ascii="楷体_GB2312" w:hAnsi="宋体" w:eastAsia="楷体_GB2312"/>
          <w:sz w:val="28"/>
          <w:szCs w:val="28"/>
        </w:rPr>
        <w:t>与本项目相当</w:t>
      </w:r>
      <w:r>
        <w:rPr>
          <w:rFonts w:ascii="楷体_GB2312" w:hAnsi="宋体" w:eastAsia="楷体_GB2312"/>
          <w:sz w:val="28"/>
          <w:szCs w:val="28"/>
        </w:rPr>
        <w:t>的</w:t>
      </w:r>
      <w:r>
        <w:rPr>
          <w:rFonts w:hint="eastAsia" w:ascii="楷体_GB2312" w:hAnsi="宋体" w:eastAsia="楷体_GB2312"/>
          <w:sz w:val="28"/>
          <w:szCs w:val="28"/>
        </w:rPr>
        <w:t>工作业绩与业务能力，此项作为本次</w:t>
      </w:r>
      <w:r>
        <w:rPr>
          <w:rFonts w:hint="eastAsia" w:ascii="楷体_GB2312" w:hAnsi="宋体" w:eastAsia="楷体_GB2312"/>
          <w:sz w:val="28"/>
          <w:szCs w:val="28"/>
          <w:lang w:val="en-US" w:eastAsia="zh-CN"/>
        </w:rPr>
        <w:t>磋商</w:t>
      </w:r>
      <w:r>
        <w:rPr>
          <w:rFonts w:hint="eastAsia" w:ascii="楷体_GB2312" w:hAnsi="宋体" w:eastAsia="楷体_GB2312"/>
          <w:sz w:val="28"/>
          <w:szCs w:val="28"/>
        </w:rPr>
        <w:t>的重要条件。一旦</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供应商须按照响应文件所列项目负责人及团队成员进场工作，</w:t>
      </w:r>
      <w:r>
        <w:rPr>
          <w:rFonts w:ascii="楷体_GB2312" w:hAnsi="宋体" w:eastAsia="楷体_GB2312"/>
          <w:sz w:val="28"/>
          <w:szCs w:val="28"/>
        </w:rPr>
        <w:t>因</w:t>
      </w:r>
      <w:r>
        <w:rPr>
          <w:rFonts w:hint="eastAsia" w:ascii="楷体_GB2312" w:hAnsi="宋体" w:eastAsia="楷体_GB2312"/>
          <w:sz w:val="28"/>
          <w:szCs w:val="28"/>
        </w:rPr>
        <w:t>故</w:t>
      </w:r>
      <w:r>
        <w:rPr>
          <w:rFonts w:ascii="楷体_GB2312" w:hAnsi="宋体" w:eastAsia="楷体_GB2312"/>
          <w:sz w:val="28"/>
          <w:szCs w:val="28"/>
        </w:rPr>
        <w:t>变更</w:t>
      </w:r>
      <w:r>
        <w:rPr>
          <w:rFonts w:hint="eastAsia" w:ascii="楷体_GB2312" w:hAnsi="宋体" w:eastAsia="楷体_GB2312"/>
          <w:sz w:val="28"/>
          <w:szCs w:val="28"/>
        </w:rPr>
        <w:t>工作团队人员</w:t>
      </w:r>
      <w:r>
        <w:rPr>
          <w:rFonts w:ascii="楷体_GB2312" w:hAnsi="宋体" w:eastAsia="楷体_GB2312"/>
          <w:sz w:val="28"/>
          <w:szCs w:val="28"/>
        </w:rPr>
        <w:t>，</w:t>
      </w:r>
      <w:r>
        <w:rPr>
          <w:rFonts w:hint="eastAsia" w:ascii="楷体_GB2312" w:hAnsi="宋体" w:eastAsia="楷体_GB2312"/>
          <w:sz w:val="28"/>
          <w:szCs w:val="28"/>
        </w:rPr>
        <w:t>须</w:t>
      </w:r>
      <w:r>
        <w:rPr>
          <w:rFonts w:ascii="楷体_GB2312" w:hAnsi="宋体" w:eastAsia="楷体_GB2312"/>
          <w:sz w:val="28"/>
          <w:szCs w:val="28"/>
        </w:rPr>
        <w:t>取得</w:t>
      </w:r>
      <w:r>
        <w:rPr>
          <w:rFonts w:hint="eastAsia" w:ascii="楷体_GB2312" w:hAnsi="宋体" w:eastAsia="楷体_GB2312"/>
          <w:sz w:val="28"/>
          <w:szCs w:val="28"/>
        </w:rPr>
        <w:t>采购人</w:t>
      </w:r>
      <w:r>
        <w:rPr>
          <w:rFonts w:ascii="楷体_GB2312" w:hAnsi="宋体" w:eastAsia="楷体_GB2312"/>
          <w:sz w:val="28"/>
          <w:szCs w:val="28"/>
        </w:rPr>
        <w:t>的认可</w:t>
      </w:r>
      <w:r>
        <w:rPr>
          <w:rFonts w:hint="eastAsia" w:ascii="楷体_GB2312" w:hAnsi="宋体" w:eastAsia="楷体_GB2312"/>
          <w:sz w:val="28"/>
          <w:szCs w:val="28"/>
        </w:rPr>
        <w:t>。若擅自变更工作人员，将构成违约。</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6</w:t>
      </w:r>
      <w:r>
        <w:rPr>
          <w:rFonts w:ascii="楷体_GB2312" w:hAnsi="宋体" w:eastAsia="楷体_GB2312"/>
          <w:sz w:val="28"/>
          <w:szCs w:val="28"/>
        </w:rPr>
        <w:t>.</w:t>
      </w:r>
      <w:r>
        <w:rPr>
          <w:rFonts w:hint="eastAsia" w:ascii="楷体_GB2312" w:hAnsi="宋体" w:eastAsia="楷体_GB2312"/>
          <w:sz w:val="28"/>
          <w:szCs w:val="28"/>
        </w:rPr>
        <w:t>对本次</w:t>
      </w:r>
      <w:r>
        <w:rPr>
          <w:rFonts w:hint="eastAsia" w:ascii="楷体_GB2312" w:hAnsi="宋体" w:eastAsia="楷体_GB2312"/>
          <w:sz w:val="28"/>
          <w:szCs w:val="28"/>
          <w:lang w:val="en-US" w:eastAsia="zh-CN"/>
        </w:rPr>
        <w:t>磋商</w:t>
      </w:r>
      <w:r>
        <w:rPr>
          <w:rFonts w:hint="eastAsia" w:ascii="楷体_GB2312" w:hAnsi="宋体" w:eastAsia="楷体_GB2312"/>
          <w:sz w:val="28"/>
          <w:szCs w:val="28"/>
        </w:rPr>
        <w:t>获悉和可能获悉的采购人商业秘密负有保密义务，除经采购人书面同意外，不得将所获悉的前述商业秘密以任何方式向任何第三方披露，也不得将所获悉的前述商业秘密以任何方式作其他用途或目的。</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7</w:t>
      </w:r>
      <w:r>
        <w:rPr>
          <w:rFonts w:ascii="楷体_GB2312" w:hAnsi="宋体" w:eastAsia="楷体_GB2312"/>
          <w:sz w:val="28"/>
          <w:szCs w:val="28"/>
        </w:rPr>
        <w:t>.</w:t>
      </w:r>
      <w:r>
        <w:rPr>
          <w:rFonts w:hint="eastAsia" w:ascii="楷体_GB2312" w:hAnsi="宋体" w:eastAsia="楷体_GB2312"/>
          <w:sz w:val="28"/>
          <w:szCs w:val="28"/>
        </w:rPr>
        <w:t>供应商需承担与本</w:t>
      </w:r>
      <w:r>
        <w:rPr>
          <w:rFonts w:hint="eastAsia" w:ascii="楷体_GB2312" w:hAnsi="宋体" w:eastAsia="楷体_GB2312"/>
          <w:sz w:val="28"/>
          <w:szCs w:val="28"/>
          <w:lang w:val="en-US" w:eastAsia="zh-CN"/>
        </w:rPr>
        <w:t>次磋商</w:t>
      </w:r>
      <w:r>
        <w:rPr>
          <w:rFonts w:hint="eastAsia" w:ascii="楷体_GB2312" w:hAnsi="宋体" w:eastAsia="楷体_GB2312"/>
          <w:sz w:val="28"/>
          <w:szCs w:val="28"/>
        </w:rPr>
        <w:t>有关的自身所发生的所有费用，包括</w:t>
      </w:r>
      <w:r>
        <w:rPr>
          <w:rFonts w:hint="eastAsia" w:ascii="楷体_GB2312" w:hAnsi="宋体" w:eastAsia="楷体_GB2312"/>
          <w:sz w:val="28"/>
          <w:szCs w:val="28"/>
          <w:lang w:val="en-US" w:eastAsia="zh-CN"/>
        </w:rPr>
        <w:t>响应文件</w:t>
      </w:r>
      <w:r>
        <w:rPr>
          <w:rFonts w:hint="eastAsia" w:ascii="楷体_GB2312" w:hAnsi="宋体" w:eastAsia="楷体_GB2312"/>
          <w:sz w:val="28"/>
          <w:szCs w:val="28"/>
        </w:rPr>
        <w:t>准备、提交以及其他相关费用。无论</w:t>
      </w:r>
      <w:r>
        <w:rPr>
          <w:rFonts w:hint="eastAsia" w:ascii="楷体_GB2312" w:hAnsi="宋体" w:eastAsia="楷体_GB2312"/>
          <w:sz w:val="28"/>
          <w:szCs w:val="28"/>
          <w:lang w:val="en-US" w:eastAsia="zh-CN"/>
        </w:rPr>
        <w:t>磋商</w:t>
      </w:r>
      <w:r>
        <w:rPr>
          <w:rFonts w:hint="eastAsia" w:ascii="楷体_GB2312" w:hAnsi="宋体" w:eastAsia="楷体_GB2312"/>
          <w:sz w:val="28"/>
          <w:szCs w:val="28"/>
        </w:rPr>
        <w:t>结果如何，采购人不承担、分担任何相关类似费用。</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outlineLvl w:val="1"/>
        <w:rPr>
          <w:rFonts w:ascii="黑体" w:hAnsi="黑体" w:eastAsia="黑体"/>
          <w:sz w:val="28"/>
          <w:szCs w:val="28"/>
        </w:rPr>
      </w:pPr>
      <w:bookmarkStart w:id="13" w:name="_Toc25347"/>
      <w:r>
        <w:rPr>
          <w:rFonts w:hint="eastAsia" w:ascii="黑体" w:hAnsi="黑体" w:eastAsia="黑体"/>
          <w:sz w:val="28"/>
          <w:szCs w:val="28"/>
        </w:rPr>
        <w:t>二、竞争性磋商文件的澄清与修改</w:t>
      </w:r>
      <w:bookmarkEnd w:id="13"/>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ascii="楷体_GB2312" w:hAnsi="宋体" w:eastAsia="楷体_GB2312"/>
          <w:sz w:val="28"/>
          <w:szCs w:val="28"/>
        </w:rPr>
        <w:t>1</w:t>
      </w:r>
      <w:r>
        <w:rPr>
          <w:rFonts w:hint="eastAsia" w:ascii="楷体_GB2312" w:hAnsi="宋体" w:eastAsia="楷体_GB2312"/>
          <w:sz w:val="28"/>
          <w:szCs w:val="28"/>
        </w:rPr>
        <w:t>.采购人对已发出的竞争性磋商文件进行澄清或者修改，将在竞争性磋商文件要求的提交响应文件截止时间</w:t>
      </w:r>
      <w:r>
        <w:rPr>
          <w:rFonts w:hint="eastAsia" w:ascii="楷体_GB2312" w:hAnsi="宋体" w:eastAsia="楷体_GB2312"/>
          <w:sz w:val="28"/>
          <w:szCs w:val="28"/>
          <w:lang w:val="en-US" w:eastAsia="zh-CN"/>
        </w:rPr>
        <w:t>五</w:t>
      </w:r>
      <w:r>
        <w:rPr>
          <w:rFonts w:hint="eastAsia" w:ascii="楷体_GB2312" w:hAnsi="宋体" w:eastAsia="楷体_GB2312"/>
          <w:sz w:val="28"/>
          <w:szCs w:val="28"/>
        </w:rPr>
        <w:t>日前进行，并以书面形式将澄清或者修改的内容通知所有获取了竞争性磋商文件的供应商。该澄清或者修改的内容为竞争性磋商文件的组成部分。</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ascii="楷体_GB2312" w:hAnsi="宋体" w:eastAsia="楷体_GB2312"/>
          <w:sz w:val="28"/>
          <w:szCs w:val="28"/>
        </w:rPr>
        <w:t>2</w:t>
      </w:r>
      <w:r>
        <w:rPr>
          <w:rFonts w:hint="eastAsia" w:ascii="楷体_GB2312" w:hAnsi="宋体" w:eastAsia="楷体_GB2312"/>
          <w:sz w:val="28"/>
          <w:szCs w:val="28"/>
        </w:rPr>
        <w:t>.供应商要求对竞争性磋商文件进行澄清的，均应在提交响应文件截止日三</w:t>
      </w:r>
      <w:r>
        <w:rPr>
          <w:rFonts w:hint="eastAsia" w:ascii="楷体_GB2312" w:hAnsi="宋体" w:eastAsia="楷体_GB2312"/>
          <w:sz w:val="28"/>
          <w:szCs w:val="28"/>
          <w:lang w:val="en-US" w:eastAsia="zh-CN"/>
        </w:rPr>
        <w:t>日</w:t>
      </w:r>
      <w:r>
        <w:rPr>
          <w:rFonts w:hint="eastAsia" w:ascii="楷体_GB2312" w:hAnsi="宋体" w:eastAsia="楷体_GB2312"/>
          <w:sz w:val="28"/>
          <w:szCs w:val="28"/>
        </w:rPr>
        <w:t>前按竞争性磋商文件中的联系方式，以书面形式通知采购人。</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hint="eastAsia" w:ascii="楷体_GB2312" w:hAnsi="宋体" w:eastAsia="楷体_GB2312"/>
          <w:sz w:val="28"/>
          <w:szCs w:val="28"/>
        </w:rPr>
      </w:pPr>
      <w:r>
        <w:rPr>
          <w:rFonts w:ascii="楷体_GB2312" w:hAnsi="宋体" w:eastAsia="楷体_GB2312"/>
          <w:sz w:val="28"/>
          <w:szCs w:val="28"/>
        </w:rPr>
        <w:t>3</w:t>
      </w:r>
      <w:r>
        <w:rPr>
          <w:rFonts w:hint="eastAsia" w:ascii="楷体_GB2312" w:hAnsi="宋体" w:eastAsia="楷体_GB2312"/>
          <w:sz w:val="28"/>
          <w:szCs w:val="28"/>
        </w:rPr>
        <w:t>.在</w:t>
      </w:r>
      <w:r>
        <w:rPr>
          <w:rFonts w:hint="eastAsia" w:ascii="楷体_GB2312" w:hAnsi="宋体" w:eastAsia="楷体_GB2312"/>
          <w:sz w:val="28"/>
          <w:szCs w:val="28"/>
          <w:lang w:val="en-US" w:eastAsia="zh-CN"/>
        </w:rPr>
        <w:t>提交响应文件</w:t>
      </w:r>
      <w:r>
        <w:rPr>
          <w:rFonts w:hint="eastAsia" w:ascii="楷体_GB2312" w:hAnsi="宋体" w:eastAsia="楷体_GB2312"/>
          <w:sz w:val="28"/>
          <w:szCs w:val="28"/>
        </w:rPr>
        <w:t>截止时间前，采购</w:t>
      </w:r>
      <w:r>
        <w:rPr>
          <w:rFonts w:hint="eastAsia" w:ascii="楷体_GB2312" w:hAnsi="宋体" w:eastAsia="楷体_GB2312"/>
          <w:sz w:val="28"/>
          <w:szCs w:val="28"/>
          <w:lang w:val="en-US" w:eastAsia="zh-CN"/>
        </w:rPr>
        <w:t>人</w:t>
      </w:r>
      <w:r>
        <w:rPr>
          <w:rFonts w:hint="eastAsia" w:ascii="楷体_GB2312" w:hAnsi="宋体" w:eastAsia="楷体_GB2312"/>
          <w:sz w:val="28"/>
          <w:szCs w:val="28"/>
        </w:rPr>
        <w:t>可以视采购具体情况，延长提交响应文件截止时间和磋商时间，并在竞争性磋商文件要求提交响应文件的截止时间三日前，将变更时间以书面形式通知所有获取了竞争性磋商文件的供应商。</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ascii="楷体_GB2312" w:hAnsi="宋体" w:eastAsia="楷体_GB2312"/>
          <w:sz w:val="28"/>
          <w:szCs w:val="28"/>
        </w:rPr>
        <w:t>4</w:t>
      </w:r>
      <w:r>
        <w:rPr>
          <w:rFonts w:hint="eastAsia" w:ascii="楷体_GB2312" w:hAnsi="宋体" w:eastAsia="楷体_GB2312"/>
          <w:sz w:val="28"/>
          <w:szCs w:val="28"/>
        </w:rPr>
        <w:t>.供应商在规定的时间内未对竞争性磋商文件的实质性条款提出疑问的，将视其完全接受竞争性磋商文件的实质性条款内容，逾期提出的质疑将不再受理。</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outlineLvl w:val="1"/>
        <w:rPr>
          <w:rFonts w:ascii="黑体" w:hAnsi="黑体" w:eastAsia="黑体"/>
          <w:sz w:val="28"/>
          <w:szCs w:val="28"/>
        </w:rPr>
      </w:pPr>
      <w:bookmarkStart w:id="14" w:name="_Toc9139"/>
      <w:r>
        <w:rPr>
          <w:rFonts w:hint="eastAsia" w:ascii="黑体" w:hAnsi="黑体" w:eastAsia="黑体"/>
          <w:sz w:val="28"/>
          <w:szCs w:val="28"/>
        </w:rPr>
        <w:t>三、响应文件的组成</w:t>
      </w:r>
      <w:bookmarkEnd w:id="14"/>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供应商须从项目报价、机构综合实力、项目团队能力、项目服务方案等方面编制响应文件。响应文件应包括如下内容：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2" w:firstLineChars="200"/>
        <w:textAlignment w:val="auto"/>
        <w:rPr>
          <w:rFonts w:ascii="楷体_GB2312" w:hAnsi="宋体" w:eastAsia="楷体_GB2312"/>
          <w:b/>
          <w:bCs/>
          <w:sz w:val="28"/>
          <w:szCs w:val="28"/>
        </w:rPr>
      </w:pPr>
      <w:r>
        <w:rPr>
          <w:rFonts w:hint="eastAsia" w:ascii="楷体_GB2312" w:hAnsi="宋体" w:eastAsia="楷体_GB2312"/>
          <w:b/>
          <w:bCs/>
          <w:sz w:val="28"/>
          <w:szCs w:val="28"/>
        </w:rPr>
        <w:t>1</w:t>
      </w:r>
      <w:r>
        <w:rPr>
          <w:rFonts w:ascii="楷体_GB2312" w:hAnsi="宋体" w:eastAsia="楷体_GB2312"/>
          <w:b/>
          <w:bCs/>
          <w:sz w:val="28"/>
          <w:szCs w:val="28"/>
        </w:rPr>
        <w:t>.</w:t>
      </w:r>
      <w:r>
        <w:rPr>
          <w:rFonts w:hint="eastAsia" w:ascii="楷体_GB2312" w:hAnsi="宋体" w:eastAsia="楷体_GB2312"/>
          <w:b/>
          <w:bCs/>
          <w:sz w:val="28"/>
          <w:szCs w:val="28"/>
        </w:rPr>
        <w:t>报价部分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供应商的报价是供应商响应采购项目要求的全部工作内容的价格体现。请供应商结合采购人企业实际，参照同行业企业发行情况，确定费用报价及按工作进度付款的比例，编制报价函（参考格式见附件</w:t>
      </w:r>
      <w:r>
        <w:rPr>
          <w:rFonts w:ascii="楷体_GB2312" w:hAnsi="宋体" w:eastAsia="楷体_GB2312"/>
          <w:sz w:val="28"/>
          <w:szCs w:val="28"/>
        </w:rPr>
        <w:t>1</w:t>
      </w:r>
      <w:r>
        <w:rPr>
          <w:rFonts w:hint="eastAsia" w:ascii="楷体_GB2312" w:hAnsi="宋体" w:eastAsia="楷体_GB2312"/>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报价应当是采购人为取得本项目服务所支付的全部确定费用，包括但不限于基础费用、成功上市奖励、</w:t>
      </w:r>
      <w:r>
        <w:rPr>
          <w:rFonts w:hint="eastAsia" w:ascii="楷体_GB2312" w:hAnsi="宋体" w:eastAsia="楷体_GB2312"/>
          <w:sz w:val="28"/>
          <w:szCs w:val="28"/>
          <w:lang w:val="en-US" w:eastAsia="zh-CN"/>
        </w:rPr>
        <w:t>合理的预估</w:t>
      </w:r>
      <w:r>
        <w:rPr>
          <w:rFonts w:hint="eastAsia" w:ascii="楷体_GB2312" w:hAnsi="宋体" w:eastAsia="楷体_GB2312"/>
          <w:sz w:val="28"/>
          <w:szCs w:val="28"/>
        </w:rPr>
        <w:t>差旅费等。在此总计价格外，采购人不另行支付任何款项。报价没有明确金额或只对部分采购内容进行报价的，</w:t>
      </w:r>
      <w:r>
        <w:rPr>
          <w:rFonts w:hint="eastAsia" w:ascii="楷体_GB2312" w:hAnsi="宋体" w:eastAsia="楷体_GB2312"/>
          <w:sz w:val="28"/>
          <w:szCs w:val="28"/>
          <w:lang w:val="en-US" w:eastAsia="zh-CN"/>
        </w:rPr>
        <w:t>其响应文件</w:t>
      </w:r>
      <w:r>
        <w:rPr>
          <w:rFonts w:hint="eastAsia" w:ascii="楷体_GB2312" w:hAnsi="宋体" w:eastAsia="楷体_GB2312"/>
          <w:sz w:val="28"/>
          <w:szCs w:val="28"/>
        </w:rPr>
        <w:t>将作无效处理。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2" w:firstLineChars="200"/>
        <w:textAlignment w:val="auto"/>
        <w:rPr>
          <w:rFonts w:hint="eastAsia" w:ascii="楷体_GB2312" w:hAnsi="宋体" w:eastAsia="楷体_GB2312"/>
          <w:b/>
          <w:bCs/>
          <w:sz w:val="28"/>
          <w:szCs w:val="28"/>
        </w:rPr>
      </w:pPr>
      <w:r>
        <w:rPr>
          <w:rFonts w:hint="eastAsia" w:ascii="楷体_GB2312" w:hAnsi="宋体" w:eastAsia="楷体_GB2312"/>
          <w:b/>
          <w:bCs/>
          <w:sz w:val="28"/>
          <w:szCs w:val="28"/>
        </w:rPr>
        <w:t>2</w:t>
      </w:r>
      <w:r>
        <w:rPr>
          <w:rFonts w:ascii="楷体_GB2312" w:hAnsi="宋体" w:eastAsia="楷体_GB2312"/>
          <w:b/>
          <w:bCs/>
          <w:sz w:val="28"/>
          <w:szCs w:val="28"/>
        </w:rPr>
        <w:t>.</w:t>
      </w:r>
      <w:r>
        <w:rPr>
          <w:rFonts w:hint="eastAsia" w:ascii="楷体_GB2312" w:hAnsi="宋体" w:eastAsia="楷体_GB2312"/>
          <w:b/>
          <w:bCs/>
          <w:sz w:val="28"/>
          <w:szCs w:val="28"/>
        </w:rPr>
        <w:t>商务及服务响应部分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（1）磋商函（参考格式见附件</w:t>
      </w:r>
      <w:r>
        <w:rPr>
          <w:rFonts w:ascii="楷体_GB2312" w:hAnsi="宋体" w:eastAsia="楷体_GB2312"/>
          <w:sz w:val="28"/>
          <w:szCs w:val="28"/>
        </w:rPr>
        <w:t>2</w:t>
      </w:r>
      <w:r>
        <w:rPr>
          <w:rFonts w:hint="eastAsia" w:ascii="楷体_GB2312" w:hAnsi="宋体" w:eastAsia="楷体_GB2312"/>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（2）法定代表人授权书（参考格式见附件</w:t>
      </w:r>
      <w:r>
        <w:rPr>
          <w:rFonts w:ascii="楷体_GB2312" w:hAnsi="宋体" w:eastAsia="楷体_GB2312"/>
          <w:sz w:val="28"/>
          <w:szCs w:val="28"/>
        </w:rPr>
        <w:t>3</w:t>
      </w:r>
      <w:r>
        <w:rPr>
          <w:rFonts w:hint="eastAsia" w:ascii="楷体_GB2312" w:hAnsi="宋体" w:eastAsia="楷体_GB2312"/>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（3）机构综合实力介绍。包括但不限于机构简介、资质荣誉、业务领域、合作资源情况；2019年以来承担企业发行上市的项目业绩；在证监会发审委专家组委员情况。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4）拟派驻项目团队情况介绍。包括项目负责人及团队成员的分工、能力和经验（附：人员完整简历，包括姓名、职务、教育背景、资格、工作年限、工作业绩及业绩证明材料等）；2019年以来团队承担央企、国企改制A股上市或增发的项目业绩；机构对项目团队的工作支持方案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（5）对本项目的整体服务方案建议。包括：项目实施的总体思路及主要环节分析；提供服务的内容及相关承诺；总体工作计划安排；与相关方的沟通机制；项目实施可能存在的主要问题及解决建议等。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w:t>
      </w:r>
      <w:r>
        <w:rPr>
          <w:rFonts w:ascii="楷体_GB2312" w:hAnsi="宋体" w:eastAsia="楷体_GB2312"/>
          <w:sz w:val="28"/>
          <w:szCs w:val="28"/>
        </w:rPr>
        <w:t>6</w:t>
      </w:r>
      <w:r>
        <w:rPr>
          <w:rFonts w:hint="eastAsia" w:ascii="楷体_GB2312" w:hAnsi="宋体" w:eastAsia="楷体_GB2312"/>
          <w:sz w:val="28"/>
          <w:szCs w:val="28"/>
        </w:rPr>
        <w:t>）供应商证券业务资格证明材料。包括：加盖公章的营业执照复印件、业务资质复印件等。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w:t>
      </w:r>
      <w:r>
        <w:rPr>
          <w:rFonts w:ascii="楷体_GB2312" w:hAnsi="宋体" w:eastAsia="楷体_GB2312"/>
          <w:sz w:val="28"/>
          <w:szCs w:val="28"/>
        </w:rPr>
        <w:t>7</w:t>
      </w:r>
      <w:r>
        <w:rPr>
          <w:rFonts w:hint="eastAsia" w:ascii="楷体_GB2312" w:hAnsi="宋体" w:eastAsia="楷体_GB2312"/>
          <w:sz w:val="28"/>
          <w:szCs w:val="28"/>
        </w:rPr>
        <w:t>）供应商认为需要提供的其他材料。</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outlineLvl w:val="1"/>
        <w:rPr>
          <w:rFonts w:ascii="黑体" w:hAnsi="黑体" w:eastAsia="黑体"/>
          <w:sz w:val="28"/>
          <w:szCs w:val="28"/>
        </w:rPr>
      </w:pPr>
      <w:bookmarkStart w:id="15" w:name="_Toc7032"/>
      <w:r>
        <w:rPr>
          <w:rFonts w:hint="eastAsia" w:ascii="黑体" w:hAnsi="黑体" w:eastAsia="黑体"/>
          <w:sz w:val="28"/>
          <w:szCs w:val="28"/>
        </w:rPr>
        <w:t>四、响应文件的编制要求</w:t>
      </w:r>
      <w:bookmarkEnd w:id="15"/>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1</w:t>
      </w:r>
      <w:r>
        <w:rPr>
          <w:rFonts w:ascii="楷体_GB2312" w:hAnsi="宋体" w:eastAsia="楷体_GB2312"/>
          <w:sz w:val="28"/>
          <w:szCs w:val="28"/>
        </w:rPr>
        <w:t>.</w:t>
      </w:r>
      <w:r>
        <w:rPr>
          <w:rFonts w:hint="eastAsia" w:ascii="楷体_GB2312" w:hAnsi="宋体" w:eastAsia="楷体_GB2312"/>
          <w:sz w:val="28"/>
          <w:szCs w:val="28"/>
        </w:rPr>
        <w:t>响应文件应按本磋商文件指定内容编写。</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2</w:t>
      </w:r>
      <w:r>
        <w:rPr>
          <w:rFonts w:ascii="楷体_GB2312" w:hAnsi="宋体" w:eastAsia="楷体_GB2312"/>
          <w:sz w:val="28"/>
          <w:szCs w:val="28"/>
        </w:rPr>
        <w:t>.</w:t>
      </w:r>
      <w:r>
        <w:rPr>
          <w:rFonts w:hint="eastAsia" w:ascii="楷体_GB2312" w:hAnsi="宋体" w:eastAsia="楷体_GB2312"/>
          <w:sz w:val="28"/>
          <w:szCs w:val="28"/>
        </w:rPr>
        <w:t>供应商递交的文件应使用中文，并以人民币标价。</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sz w:val="24"/>
          <w:highlight w:val="green"/>
        </w:rPr>
      </w:pPr>
      <w:r>
        <w:rPr>
          <w:rFonts w:hint="eastAsia" w:ascii="楷体_GB2312" w:hAnsi="宋体" w:eastAsia="楷体_GB2312"/>
          <w:sz w:val="28"/>
          <w:szCs w:val="28"/>
        </w:rPr>
        <w:t>3</w:t>
      </w:r>
      <w:r>
        <w:rPr>
          <w:rFonts w:ascii="楷体_GB2312" w:hAnsi="宋体" w:eastAsia="楷体_GB2312"/>
          <w:sz w:val="28"/>
          <w:szCs w:val="28"/>
        </w:rPr>
        <w:t>.</w:t>
      </w:r>
      <w:r>
        <w:rPr>
          <w:rFonts w:hint="eastAsia" w:ascii="楷体_GB2312" w:hAnsi="宋体" w:eastAsia="楷体_GB2312"/>
          <w:sz w:val="28"/>
          <w:szCs w:val="28"/>
        </w:rPr>
        <w:t>响应文件和资料应由供应商的法定代表人或者其授权代表签字并逐页加盖公章，封面须标明单位名称。授权代表签字的，响应文件应附法定代表人签署的授权委托书。</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4</w:t>
      </w:r>
      <w:r>
        <w:rPr>
          <w:rFonts w:ascii="楷体_GB2312" w:hAnsi="宋体" w:eastAsia="楷体_GB2312"/>
          <w:sz w:val="28"/>
          <w:szCs w:val="28"/>
        </w:rPr>
        <w:t>.</w:t>
      </w:r>
      <w:r>
        <w:rPr>
          <w:rFonts w:hint="eastAsia" w:ascii="楷体_GB2312" w:hAnsi="宋体" w:eastAsia="楷体_GB2312"/>
          <w:sz w:val="28"/>
          <w:szCs w:val="28"/>
        </w:rPr>
        <w:t>除供应商对错漏之处做必要修改或补充外，所递交文件中不得有随意的行间插字、涂改或增删。如确有实质问题的错漏之处需手工修改或补充，应由供应商的法定代表人或其授权人在修改或补充之处签字或加盖单位公章。</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5</w:t>
      </w:r>
      <w:r>
        <w:rPr>
          <w:rFonts w:ascii="楷体_GB2312" w:hAnsi="宋体" w:eastAsia="楷体_GB2312"/>
          <w:sz w:val="28"/>
          <w:szCs w:val="28"/>
        </w:rPr>
        <w:t>.</w:t>
      </w:r>
      <w:r>
        <w:rPr>
          <w:rFonts w:hint="eastAsia" w:ascii="楷体_GB2312" w:hAnsi="宋体" w:eastAsia="楷体_GB2312"/>
          <w:sz w:val="28"/>
          <w:szCs w:val="28"/>
        </w:rPr>
        <w:t>除报价函外所有文件须统一装订在一本</w:t>
      </w:r>
      <w:r>
        <w:rPr>
          <w:rFonts w:hint="eastAsia" w:ascii="楷体_GB2312" w:hAnsi="宋体" w:eastAsia="楷体_GB2312"/>
          <w:sz w:val="28"/>
          <w:szCs w:val="28"/>
          <w:lang w:val="en-US" w:eastAsia="zh-CN"/>
        </w:rPr>
        <w:t>响应文件</w:t>
      </w:r>
      <w:r>
        <w:rPr>
          <w:rFonts w:hint="eastAsia" w:ascii="楷体_GB2312" w:hAnsi="宋体" w:eastAsia="楷体_GB2312"/>
          <w:sz w:val="28"/>
          <w:szCs w:val="28"/>
        </w:rPr>
        <w:t>内。响应文件应编制详细目录，标明各章节相对应的页码，采购人能根据页码容易地找到其相对应的章节和内容。</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6</w:t>
      </w:r>
      <w:r>
        <w:rPr>
          <w:rFonts w:ascii="楷体_GB2312" w:hAnsi="宋体" w:eastAsia="楷体_GB2312"/>
          <w:sz w:val="28"/>
          <w:szCs w:val="28"/>
        </w:rPr>
        <w:t>.</w:t>
      </w:r>
      <w:r>
        <w:rPr>
          <w:rFonts w:hint="eastAsia" w:ascii="楷体_GB2312" w:hAnsi="宋体" w:eastAsia="楷体_GB2312"/>
          <w:sz w:val="28"/>
          <w:szCs w:val="28"/>
        </w:rPr>
        <w:t>响应文件正</w:t>
      </w:r>
      <w:r>
        <w:rPr>
          <w:rFonts w:hint="eastAsia" w:ascii="楷体_GB2312" w:hAnsi="宋体" w:eastAsia="楷体_GB2312"/>
          <w:sz w:val="28"/>
          <w:szCs w:val="28"/>
          <w:highlight w:val="none"/>
        </w:rPr>
        <w:t>本一份，副本</w:t>
      </w:r>
      <w:r>
        <w:rPr>
          <w:rFonts w:hint="eastAsia" w:ascii="楷体_GB2312" w:hAnsi="宋体" w:eastAsia="楷体_GB2312"/>
          <w:sz w:val="28"/>
          <w:szCs w:val="28"/>
          <w:highlight w:val="none"/>
          <w:lang w:val="en-US" w:eastAsia="zh-CN"/>
        </w:rPr>
        <w:t>二</w:t>
      </w:r>
      <w:r>
        <w:rPr>
          <w:rFonts w:hint="eastAsia" w:ascii="楷体_GB2312" w:hAnsi="宋体" w:eastAsia="楷体_GB2312"/>
          <w:sz w:val="28"/>
          <w:szCs w:val="28"/>
        </w:rPr>
        <w:t>份，装订成A4号规格，不得采用活页夹。副本可以用正本的完整复印件，并在封面标明“正本”、“副本”字样。一旦正本、副本不符，将以正本为准。采购人对由于响应文件装订松散而造成的丢失或其它后果不承担任何责任，直至导致</w:t>
      </w:r>
      <w:r>
        <w:rPr>
          <w:rFonts w:hint="eastAsia" w:ascii="楷体_GB2312" w:hAnsi="宋体" w:eastAsia="楷体_GB2312"/>
          <w:sz w:val="28"/>
          <w:szCs w:val="28"/>
          <w:lang w:val="en-US" w:eastAsia="zh-CN"/>
        </w:rPr>
        <w:t>无效磋商</w:t>
      </w:r>
      <w:r>
        <w:rPr>
          <w:rFonts w:hint="eastAsia" w:ascii="楷体_GB2312" w:hAnsi="宋体" w:eastAsia="楷体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7</w:t>
      </w:r>
      <w:r>
        <w:rPr>
          <w:rFonts w:ascii="楷体_GB2312" w:hAnsi="宋体" w:eastAsia="楷体_GB2312"/>
          <w:sz w:val="28"/>
          <w:szCs w:val="28"/>
        </w:rPr>
        <w:t>.</w:t>
      </w:r>
      <w:r>
        <w:rPr>
          <w:rFonts w:hint="eastAsia" w:ascii="楷体_GB2312" w:hAnsi="宋体" w:eastAsia="楷体_GB2312"/>
          <w:sz w:val="28"/>
          <w:szCs w:val="28"/>
        </w:rPr>
        <w:t>无论</w:t>
      </w:r>
      <w:r>
        <w:rPr>
          <w:rFonts w:hint="eastAsia" w:ascii="楷体_GB2312" w:hAnsi="宋体" w:eastAsia="楷体_GB2312"/>
          <w:sz w:val="28"/>
          <w:szCs w:val="28"/>
          <w:lang w:val="en-US" w:eastAsia="zh-CN"/>
        </w:rPr>
        <w:t>磋商</w:t>
      </w:r>
      <w:r>
        <w:rPr>
          <w:rFonts w:hint="eastAsia" w:ascii="楷体_GB2312" w:hAnsi="宋体" w:eastAsia="楷体_GB2312"/>
          <w:sz w:val="28"/>
          <w:szCs w:val="28"/>
        </w:rPr>
        <w:t xml:space="preserve">结果如何，响应文件将不予退还。 </w:t>
      </w:r>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outlineLvl w:val="1"/>
        <w:rPr>
          <w:rFonts w:ascii="黑体" w:hAnsi="黑体" w:eastAsia="黑体"/>
          <w:sz w:val="28"/>
          <w:szCs w:val="28"/>
        </w:rPr>
      </w:pPr>
      <w:bookmarkStart w:id="16" w:name="_Toc14816"/>
      <w:r>
        <w:rPr>
          <w:rFonts w:hint="eastAsia" w:ascii="黑体" w:hAnsi="黑体" w:eastAsia="黑体"/>
          <w:sz w:val="28"/>
          <w:szCs w:val="28"/>
        </w:rPr>
        <w:t>五、响应文件的递交</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1.</w:t>
      </w:r>
      <w:r>
        <w:rPr>
          <w:rFonts w:hint="eastAsia" w:ascii="楷体_GB2312" w:hAnsi="宋体" w:eastAsia="楷体_GB2312"/>
          <w:sz w:val="28"/>
          <w:szCs w:val="28"/>
        </w:rPr>
        <w:t>供应商应将</w:t>
      </w:r>
      <w:r>
        <w:rPr>
          <w:rFonts w:hint="eastAsia" w:ascii="楷体_GB2312" w:hAnsi="宋体" w:eastAsia="楷体_GB2312"/>
          <w:sz w:val="28"/>
          <w:szCs w:val="28"/>
          <w:lang w:val="en-US" w:eastAsia="zh-CN"/>
        </w:rPr>
        <w:t>响应文件</w:t>
      </w:r>
      <w:r>
        <w:rPr>
          <w:rFonts w:hint="eastAsia" w:ascii="楷体_GB2312" w:hAnsi="宋体" w:eastAsia="楷体_GB2312"/>
          <w:sz w:val="28"/>
          <w:szCs w:val="28"/>
        </w:rPr>
        <w:t>正本（</w:t>
      </w:r>
      <w:r>
        <w:rPr>
          <w:rFonts w:hint="eastAsia" w:ascii="楷体_GB2312" w:hAnsi="宋体" w:eastAsia="楷体_GB2312"/>
          <w:sz w:val="28"/>
          <w:szCs w:val="28"/>
          <w:highlight w:val="none"/>
        </w:rPr>
        <w:t>一份）、副本（</w:t>
      </w:r>
      <w:r>
        <w:rPr>
          <w:rFonts w:hint="eastAsia" w:ascii="楷体_GB2312" w:hAnsi="宋体" w:eastAsia="楷体_GB2312"/>
          <w:sz w:val="28"/>
          <w:szCs w:val="28"/>
          <w:highlight w:val="none"/>
          <w:lang w:val="en-US" w:eastAsia="zh-CN"/>
        </w:rPr>
        <w:t>二</w:t>
      </w:r>
      <w:r>
        <w:rPr>
          <w:rFonts w:hint="eastAsia" w:ascii="楷体_GB2312" w:hAnsi="宋体" w:eastAsia="楷体_GB2312"/>
          <w:sz w:val="28"/>
          <w:szCs w:val="28"/>
        </w:rPr>
        <w:t xml:space="preserve">份）密封在一个外层包封中，报价函单独包封。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2.</w:t>
      </w:r>
      <w:r>
        <w:rPr>
          <w:rFonts w:hint="eastAsia" w:ascii="楷体_GB2312" w:hAnsi="宋体" w:eastAsia="楷体_GB2312"/>
          <w:sz w:val="28"/>
          <w:szCs w:val="28"/>
        </w:rPr>
        <w:t>外层包封都应写明</w:t>
      </w:r>
      <w:r>
        <w:rPr>
          <w:rFonts w:hint="eastAsia" w:ascii="楷体_GB2312" w:hAnsi="宋体" w:eastAsia="楷体_GB2312"/>
          <w:sz w:val="28"/>
          <w:szCs w:val="28"/>
          <w:lang w:val="en-US" w:eastAsia="zh-CN"/>
        </w:rPr>
        <w:t>采购人</w:t>
      </w:r>
      <w:r>
        <w:rPr>
          <w:rFonts w:hint="eastAsia" w:ascii="楷体_GB2312" w:hAnsi="宋体" w:eastAsia="楷体_GB2312"/>
          <w:sz w:val="28"/>
          <w:szCs w:val="28"/>
        </w:rPr>
        <w:t>的名称，并具有识别标志：“北京市政路桥建材集团有限公司引入上市中介服务机构（律师事务所）</w:t>
      </w:r>
      <w:r>
        <w:rPr>
          <w:rFonts w:hint="eastAsia" w:ascii="楷体_GB2312" w:hAnsi="宋体" w:eastAsia="楷体_GB2312"/>
          <w:sz w:val="28"/>
          <w:szCs w:val="28"/>
          <w:lang w:val="en-US" w:eastAsia="zh-CN"/>
        </w:rPr>
        <w:t>响应文件</w:t>
      </w:r>
      <w:r>
        <w:rPr>
          <w:rFonts w:hint="eastAsia" w:ascii="楷体_GB2312" w:hAnsi="宋体" w:eastAsia="楷体_GB2312"/>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3.</w:t>
      </w:r>
      <w:r>
        <w:rPr>
          <w:rFonts w:hint="eastAsia" w:ascii="楷体_GB2312" w:hAnsi="宋体" w:eastAsia="楷体_GB2312"/>
          <w:sz w:val="28"/>
          <w:szCs w:val="28"/>
        </w:rPr>
        <w:t>响应文件须于2021年</w:t>
      </w:r>
      <w:r>
        <w:rPr>
          <w:rFonts w:ascii="楷体_GB2312" w:hAnsi="宋体" w:eastAsia="楷体_GB2312"/>
          <w:sz w:val="28"/>
          <w:szCs w:val="28"/>
        </w:rPr>
        <w:t>8</w:t>
      </w:r>
      <w:r>
        <w:rPr>
          <w:rFonts w:hint="eastAsia" w:ascii="楷体_GB2312" w:hAnsi="宋体" w:eastAsia="楷体_GB2312"/>
          <w:sz w:val="28"/>
          <w:szCs w:val="28"/>
        </w:rPr>
        <w:t>月</w:t>
      </w:r>
      <w:r>
        <w:rPr>
          <w:rFonts w:hint="eastAsia" w:ascii="楷体_GB2312" w:hAnsi="宋体" w:eastAsia="楷体_GB2312"/>
          <w:sz w:val="28"/>
          <w:szCs w:val="28"/>
          <w:lang w:val="en-US" w:eastAsia="zh-CN"/>
        </w:rPr>
        <w:t>3</w:t>
      </w:r>
      <w:r>
        <w:rPr>
          <w:rFonts w:hint="eastAsia" w:ascii="楷体_GB2312" w:hAnsi="宋体" w:eastAsia="楷体_GB2312"/>
          <w:sz w:val="28"/>
          <w:szCs w:val="28"/>
        </w:rPr>
        <w:t>日（星期</w:t>
      </w:r>
      <w:r>
        <w:rPr>
          <w:rFonts w:hint="eastAsia" w:ascii="楷体_GB2312" w:hAnsi="宋体" w:eastAsia="楷体_GB2312"/>
          <w:sz w:val="28"/>
          <w:szCs w:val="28"/>
          <w:lang w:val="en-US" w:eastAsia="zh-CN"/>
        </w:rPr>
        <w:t>二</w:t>
      </w:r>
      <w:r>
        <w:rPr>
          <w:rFonts w:hint="eastAsia" w:ascii="楷体_GB2312" w:hAnsi="宋体" w:eastAsia="楷体_GB2312"/>
          <w:sz w:val="28"/>
          <w:szCs w:val="28"/>
        </w:rPr>
        <w:t>）上午</w:t>
      </w:r>
      <w:r>
        <w:rPr>
          <w:rFonts w:hint="eastAsia" w:ascii="楷体_GB2312" w:hAnsi="宋体" w:eastAsia="楷体_GB2312"/>
          <w:sz w:val="28"/>
          <w:szCs w:val="28"/>
          <w:lang w:val="en-US" w:eastAsia="zh-CN"/>
        </w:rPr>
        <w:t>8：00-</w:t>
      </w:r>
      <w:r>
        <w:rPr>
          <w:rFonts w:hint="eastAsia" w:ascii="楷体_GB2312" w:hAnsi="宋体" w:eastAsia="楷体_GB2312"/>
          <w:sz w:val="28"/>
          <w:szCs w:val="28"/>
        </w:rPr>
        <w:t>8：30</w:t>
      </w:r>
      <w:r>
        <w:rPr>
          <w:rFonts w:hint="eastAsia" w:ascii="楷体_GB2312" w:hAnsi="宋体" w:eastAsia="楷体_GB2312"/>
          <w:sz w:val="28"/>
          <w:szCs w:val="28"/>
          <w:lang w:val="en-US" w:eastAsia="zh-CN"/>
        </w:rPr>
        <w:t>，</w:t>
      </w:r>
      <w:r>
        <w:rPr>
          <w:rFonts w:hint="eastAsia" w:ascii="楷体_GB2312" w:hAnsi="宋体" w:eastAsia="楷体_GB2312"/>
          <w:sz w:val="28"/>
          <w:szCs w:val="28"/>
        </w:rPr>
        <w:t>由供应商代表</w:t>
      </w:r>
      <w:r>
        <w:rPr>
          <w:rFonts w:hint="eastAsia" w:ascii="楷体_GB2312" w:hAnsi="宋体" w:eastAsia="楷体_GB2312"/>
          <w:sz w:val="28"/>
          <w:szCs w:val="28"/>
          <w:lang w:val="en-US" w:eastAsia="zh-CN"/>
        </w:rPr>
        <w:t>现场</w:t>
      </w:r>
      <w:r>
        <w:rPr>
          <w:rFonts w:hint="eastAsia" w:ascii="楷体_GB2312" w:hAnsi="宋体" w:eastAsia="楷体_GB2312"/>
          <w:sz w:val="28"/>
          <w:szCs w:val="28"/>
        </w:rPr>
        <w:t>递交到北京市朝阳区三台山路甲3号208会议室，由采购人签收。响应文件应在指定时间密封送达，迟到的响应文件、未按规定密封的响应文件均为无效</w:t>
      </w:r>
      <w:r>
        <w:rPr>
          <w:rFonts w:hint="eastAsia" w:ascii="楷体_GB2312" w:hAnsi="宋体" w:eastAsia="楷体_GB2312"/>
          <w:sz w:val="28"/>
          <w:szCs w:val="28"/>
          <w:lang w:val="en-US" w:eastAsia="zh-CN"/>
        </w:rPr>
        <w:t>响应</w:t>
      </w:r>
      <w:r>
        <w:rPr>
          <w:rFonts w:hint="eastAsia" w:ascii="楷体_GB2312" w:hAnsi="宋体" w:eastAsia="楷体_GB2312"/>
          <w:sz w:val="28"/>
          <w:szCs w:val="28"/>
        </w:rPr>
        <w:t>文件,将被拒收。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outlineLvl w:val="1"/>
        <w:rPr>
          <w:rFonts w:hint="default" w:ascii="黑体" w:hAnsi="黑体" w:eastAsia="黑体"/>
          <w:sz w:val="28"/>
          <w:szCs w:val="28"/>
          <w:lang w:val="en-US" w:eastAsia="zh-CN"/>
        </w:rPr>
      </w:pPr>
      <w:bookmarkStart w:id="17" w:name="_Toc29683"/>
      <w:r>
        <w:rPr>
          <w:rFonts w:hint="eastAsia" w:ascii="黑体" w:hAnsi="黑体" w:eastAsia="黑体"/>
          <w:sz w:val="28"/>
          <w:szCs w:val="28"/>
        </w:rPr>
        <w:t>六、</w:t>
      </w:r>
      <w:r>
        <w:rPr>
          <w:rFonts w:hint="eastAsia" w:ascii="黑体" w:hAnsi="黑体" w:eastAsia="黑体"/>
          <w:sz w:val="28"/>
          <w:szCs w:val="28"/>
          <w:lang w:val="en-US" w:eastAsia="zh-CN"/>
        </w:rPr>
        <w:t>磋商程序</w:t>
      </w:r>
      <w:bookmarkEnd w:id="17"/>
    </w:p>
    <w:p>
      <w:pPr>
        <w:keepNext w:val="0"/>
        <w:keepLines w:val="0"/>
        <w:pageBreakBefore w:val="0"/>
        <w:widowControl w:val="0"/>
        <w:kinsoku/>
        <w:wordWrap/>
        <w:overflowPunct/>
        <w:topLinePunct w:val="0"/>
        <w:autoSpaceDE/>
        <w:autoSpaceDN/>
        <w:bidi w:val="0"/>
        <w:spacing w:line="560" w:lineRule="exact"/>
        <w:ind w:left="0" w:leftChars="0" w:firstLine="560" w:firstLineChars="200"/>
        <w:textAlignment w:val="auto"/>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1.</w:t>
      </w:r>
      <w:r>
        <w:rPr>
          <w:rFonts w:hint="eastAsia" w:ascii="楷体_GB2312" w:hAnsi="宋体" w:eastAsia="楷体_GB2312"/>
          <w:sz w:val="28"/>
          <w:szCs w:val="28"/>
        </w:rPr>
        <w:t>供应商向采购人提交响应文件后，应在规定时间和地点参加本项目的竞争性磋商</w:t>
      </w:r>
      <w:r>
        <w:rPr>
          <w:rFonts w:hint="eastAsia" w:ascii="楷体_GB2312" w:hAnsi="宋体" w:eastAsia="楷体_GB2312"/>
          <w:sz w:val="28"/>
          <w:szCs w:val="28"/>
          <w:lang w:eastAsia="zh-CN"/>
        </w:rPr>
        <w:t>，</w:t>
      </w:r>
      <w:r>
        <w:rPr>
          <w:rFonts w:hint="eastAsia" w:ascii="楷体_GB2312" w:hAnsi="宋体" w:eastAsia="楷体_GB2312"/>
          <w:sz w:val="28"/>
          <w:szCs w:val="28"/>
          <w:lang w:val="en-US" w:eastAsia="zh-CN"/>
        </w:rPr>
        <w:t>须有法定代表人或其授权代表参加并签到。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bookmarkStart w:id="18" w:name="_Toc446343553"/>
      <w:r>
        <w:rPr>
          <w:rFonts w:hint="eastAsia" w:ascii="楷体_GB2312" w:hAnsi="宋体" w:eastAsia="楷体_GB2312"/>
          <w:sz w:val="28"/>
          <w:szCs w:val="28"/>
          <w:lang w:val="en-US" w:eastAsia="zh-CN"/>
        </w:rPr>
        <w:t>2</w:t>
      </w:r>
      <w:r>
        <w:rPr>
          <w:rFonts w:ascii="楷体_GB2312" w:hAnsi="宋体" w:eastAsia="楷体_GB2312"/>
          <w:sz w:val="28"/>
          <w:szCs w:val="28"/>
        </w:rPr>
        <w:t>.</w:t>
      </w:r>
      <w:r>
        <w:rPr>
          <w:rFonts w:hint="eastAsia" w:ascii="楷体_GB2312" w:hAnsi="宋体" w:eastAsia="楷体_GB2312"/>
          <w:sz w:val="28"/>
          <w:szCs w:val="28"/>
          <w:lang w:val="en-US" w:eastAsia="zh-CN"/>
        </w:rPr>
        <w:t>在正式磋商前，</w:t>
      </w:r>
      <w:r>
        <w:rPr>
          <w:rFonts w:hint="eastAsia" w:ascii="楷体_GB2312" w:hAnsi="宋体" w:eastAsia="楷体_GB2312"/>
          <w:sz w:val="28"/>
          <w:szCs w:val="28"/>
        </w:rPr>
        <w:t>磋商小组审查响应文件是否符合磋商文件的要求，对不符合磋商文件要求的响应文件</w:t>
      </w:r>
      <w:r>
        <w:rPr>
          <w:rFonts w:hint="eastAsia" w:ascii="楷体_GB2312" w:hAnsi="宋体" w:eastAsia="楷体_GB2312"/>
          <w:sz w:val="28"/>
          <w:szCs w:val="28"/>
          <w:lang w:val="en-US" w:eastAsia="zh-CN"/>
        </w:rPr>
        <w:t>作</w:t>
      </w:r>
      <w:r>
        <w:rPr>
          <w:rFonts w:hint="eastAsia" w:ascii="楷体_GB2312" w:hAnsi="宋体" w:eastAsia="楷体_GB2312"/>
          <w:sz w:val="28"/>
          <w:szCs w:val="28"/>
        </w:rPr>
        <w:t>无效处理，并遴选出合格的供应商。若合格供应商不足</w:t>
      </w:r>
      <w:r>
        <w:rPr>
          <w:rFonts w:hint="eastAsia" w:ascii="楷体_GB2312" w:hAnsi="宋体" w:eastAsia="楷体_GB2312"/>
          <w:sz w:val="28"/>
          <w:szCs w:val="28"/>
          <w:lang w:val="en-US" w:eastAsia="zh-CN"/>
        </w:rPr>
        <w:t>3</w:t>
      </w:r>
      <w:r>
        <w:rPr>
          <w:rFonts w:hint="eastAsia" w:ascii="楷体_GB2312" w:hAnsi="宋体" w:eastAsia="楷体_GB2312"/>
          <w:sz w:val="28"/>
          <w:szCs w:val="28"/>
        </w:rPr>
        <w:t>家，本项目中止。</w:t>
      </w:r>
    </w:p>
    <w:p>
      <w:pPr>
        <w:keepNext w:val="0"/>
        <w:keepLines w:val="0"/>
        <w:pageBreakBefore w:val="0"/>
        <w:widowControl w:val="0"/>
        <w:tabs>
          <w:tab w:val="left" w:pos="1095"/>
        </w:tabs>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3</w:t>
      </w:r>
      <w:r>
        <w:rPr>
          <w:rFonts w:ascii="楷体_GB2312" w:hAnsi="宋体" w:eastAsia="楷体_GB2312"/>
          <w:sz w:val="28"/>
          <w:szCs w:val="28"/>
        </w:rPr>
        <w:t>.</w:t>
      </w:r>
      <w:r>
        <w:rPr>
          <w:rFonts w:hint="eastAsia" w:ascii="楷体_GB2312" w:hAnsi="宋体" w:eastAsia="楷体_GB2312"/>
          <w:sz w:val="28"/>
          <w:szCs w:val="28"/>
        </w:rPr>
        <w:t>按</w:t>
      </w:r>
      <w:r>
        <w:rPr>
          <w:rFonts w:hint="eastAsia" w:ascii="楷体_GB2312" w:hAnsi="宋体" w:eastAsia="楷体_GB2312"/>
          <w:sz w:val="28"/>
          <w:szCs w:val="28"/>
          <w:lang w:val="en-US" w:eastAsia="zh-CN"/>
        </w:rPr>
        <w:t>递交响应文件</w:t>
      </w:r>
      <w:r>
        <w:rPr>
          <w:rFonts w:hint="eastAsia" w:ascii="楷体_GB2312" w:hAnsi="宋体" w:eastAsia="楷体_GB2312"/>
          <w:sz w:val="28"/>
          <w:szCs w:val="28"/>
        </w:rPr>
        <w:t>的先后顺序，磋商小组</w:t>
      </w:r>
      <w:r>
        <w:rPr>
          <w:rFonts w:hint="eastAsia" w:ascii="楷体_GB2312" w:hAnsi="宋体" w:eastAsia="楷体_GB2312"/>
          <w:sz w:val="28"/>
          <w:szCs w:val="28"/>
          <w:lang w:val="en-US" w:eastAsia="zh-CN"/>
        </w:rPr>
        <w:t>所有成员集中</w:t>
      </w:r>
      <w:r>
        <w:rPr>
          <w:rFonts w:hint="eastAsia" w:ascii="楷体_GB2312" w:hAnsi="宋体" w:eastAsia="楷体_GB2312"/>
          <w:sz w:val="28"/>
          <w:szCs w:val="28"/>
        </w:rPr>
        <w:t>与</w:t>
      </w:r>
      <w:r>
        <w:rPr>
          <w:rFonts w:hint="eastAsia" w:ascii="楷体_GB2312" w:hAnsi="宋体" w:eastAsia="楷体_GB2312"/>
          <w:sz w:val="28"/>
          <w:szCs w:val="28"/>
          <w:lang w:val="en-US" w:eastAsia="zh-CN"/>
        </w:rPr>
        <w:t>单一合格</w:t>
      </w:r>
      <w:r>
        <w:rPr>
          <w:rFonts w:hint="eastAsia" w:ascii="楷体_GB2312" w:hAnsi="宋体" w:eastAsia="楷体_GB2312"/>
          <w:sz w:val="28"/>
          <w:szCs w:val="28"/>
        </w:rPr>
        <w:t>供应商分别进行</w:t>
      </w:r>
      <w:r>
        <w:rPr>
          <w:rFonts w:hint="eastAsia" w:ascii="楷体_GB2312" w:hAnsi="宋体" w:eastAsia="楷体_GB2312"/>
          <w:sz w:val="28"/>
          <w:szCs w:val="28"/>
          <w:lang w:val="en-US" w:eastAsia="zh-CN"/>
        </w:rPr>
        <w:t>正式</w:t>
      </w:r>
      <w:r>
        <w:rPr>
          <w:rFonts w:hint="eastAsia" w:ascii="楷体_GB2312" w:hAnsi="宋体" w:eastAsia="楷体_GB2312"/>
          <w:sz w:val="28"/>
          <w:szCs w:val="28"/>
        </w:rPr>
        <w:t>磋商，</w:t>
      </w:r>
      <w:r>
        <w:rPr>
          <w:rFonts w:hint="eastAsia" w:ascii="楷体_GB2312" w:hAnsi="宋体" w:eastAsia="楷体_GB2312"/>
          <w:sz w:val="28"/>
          <w:szCs w:val="28"/>
          <w:lang w:val="en-US" w:eastAsia="zh-CN"/>
        </w:rPr>
        <w:t>磋商的任何一方不得向他人透露与磋商有关的一切信息</w:t>
      </w:r>
      <w:r>
        <w:rPr>
          <w:rFonts w:hint="eastAsia" w:ascii="楷体_GB2312" w:hAnsi="宋体" w:eastAsia="楷体_GB2312"/>
          <w:sz w:val="28"/>
          <w:szCs w:val="28"/>
        </w:rPr>
        <w:t>。</w:t>
      </w:r>
      <w:r>
        <w:rPr>
          <w:rFonts w:ascii="楷体_GB2312" w:hAnsi="宋体" w:eastAsia="楷体_GB2312"/>
          <w:sz w:val="28"/>
          <w:szCs w:val="28"/>
        </w:rPr>
        <w:t xml:space="preserve"> </w:t>
      </w:r>
    </w:p>
    <w:p>
      <w:pPr>
        <w:keepNext w:val="0"/>
        <w:keepLines w:val="0"/>
        <w:pageBreakBefore w:val="0"/>
        <w:widowControl w:val="0"/>
        <w:tabs>
          <w:tab w:val="left" w:pos="1095"/>
        </w:tabs>
        <w:kinsoku/>
        <w:wordWrap/>
        <w:overflowPunct/>
        <w:topLinePunct w:val="0"/>
        <w:autoSpaceDE/>
        <w:autoSpaceDN/>
        <w:bidi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4</w:t>
      </w:r>
      <w:r>
        <w:rPr>
          <w:rFonts w:ascii="楷体_GB2312" w:hAnsi="宋体" w:eastAsia="楷体_GB2312"/>
          <w:sz w:val="28"/>
          <w:szCs w:val="28"/>
        </w:rPr>
        <w:t>.</w:t>
      </w:r>
      <w:r>
        <w:rPr>
          <w:rFonts w:hint="eastAsia" w:ascii="楷体_GB2312" w:hAnsi="宋体" w:eastAsia="楷体_GB2312"/>
          <w:sz w:val="28"/>
          <w:szCs w:val="28"/>
        </w:rPr>
        <w:t>在评审过程中，磋商小组发现供应商的报价明显低于其他响应文件报价或者明显低于成本价，应当要求该供应商做出书面说明并提供相关证明材料。供应商不能合理说明或者不能提供相关证明材料的，由磋商小组认定该供应商恶意竞标，其响应文件应作无效处理。</w:t>
      </w:r>
    </w:p>
    <w:p>
      <w:pPr>
        <w:keepNext w:val="0"/>
        <w:keepLines w:val="0"/>
        <w:pageBreakBefore w:val="0"/>
        <w:widowControl w:val="0"/>
        <w:tabs>
          <w:tab w:val="left" w:pos="1095"/>
        </w:tabs>
        <w:kinsoku/>
        <w:wordWrap/>
        <w:overflowPunct/>
        <w:topLinePunct w:val="0"/>
        <w:autoSpaceDE/>
        <w:autoSpaceDN/>
        <w:bidi w:val="0"/>
        <w:spacing w:line="560" w:lineRule="exact"/>
        <w:ind w:left="0" w:leftChars="0" w:firstLine="560" w:firstLineChars="200"/>
        <w:textAlignment w:val="auto"/>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5</w:t>
      </w:r>
      <w:r>
        <w:rPr>
          <w:rFonts w:ascii="楷体_GB2312" w:hAnsi="宋体" w:eastAsia="楷体_GB2312"/>
          <w:sz w:val="28"/>
          <w:szCs w:val="28"/>
        </w:rPr>
        <w:t>.</w:t>
      </w:r>
      <w:r>
        <w:rPr>
          <w:rFonts w:hint="eastAsia" w:ascii="楷体_GB2312" w:hAnsi="宋体" w:eastAsia="楷体_GB2312"/>
          <w:sz w:val="28"/>
          <w:szCs w:val="28"/>
        </w:rPr>
        <w:t>磋商小组可以书面方式要求供应商对响应文件中含义不明确、对同类问题表述不一致或者有明显文字和计算错误的内容作必要的澄清、说明或者补正。</w:t>
      </w:r>
      <w:r>
        <w:rPr>
          <w:rFonts w:hint="eastAsia" w:ascii="楷体_GB2312" w:hAnsi="宋体" w:eastAsia="楷体_GB2312"/>
          <w:sz w:val="28"/>
          <w:szCs w:val="28"/>
          <w:lang w:val="en-US" w:eastAsia="zh-CN"/>
        </w:rPr>
        <w:t>供应商的</w:t>
      </w:r>
      <w:r>
        <w:rPr>
          <w:rFonts w:hint="eastAsia" w:ascii="楷体_GB2312" w:hAnsi="宋体" w:eastAsia="楷体_GB2312"/>
          <w:sz w:val="28"/>
          <w:szCs w:val="28"/>
        </w:rPr>
        <w:t>澄清、说明或者补正不得超出响应文件的范围或者改变响应文件的实质性内容</w:t>
      </w:r>
      <w:r>
        <w:rPr>
          <w:rFonts w:hint="eastAsia" w:ascii="楷体_GB2312" w:hAnsi="宋体" w:eastAsia="楷体_GB2312"/>
          <w:sz w:val="28"/>
          <w:szCs w:val="28"/>
          <w:lang w:eastAsia="zh-CN"/>
        </w:rPr>
        <w:t>，</w:t>
      </w:r>
      <w:r>
        <w:rPr>
          <w:rFonts w:hint="eastAsia" w:ascii="楷体_GB2312" w:hAnsi="宋体" w:eastAsia="楷体_GB2312"/>
          <w:sz w:val="28"/>
          <w:szCs w:val="28"/>
        </w:rPr>
        <w:t>应以书面方式进行并</w:t>
      </w:r>
      <w:r>
        <w:rPr>
          <w:rFonts w:hint="eastAsia" w:ascii="楷体_GB2312" w:hAnsi="宋体" w:eastAsia="楷体_GB2312"/>
          <w:sz w:val="28"/>
          <w:szCs w:val="28"/>
          <w:lang w:val="en-US" w:eastAsia="zh-CN"/>
        </w:rPr>
        <w:t>由法定代表人或其授权代表签字或加盖公章，由授权代表签字的，应当附法定代表人授权书。</w:t>
      </w:r>
    </w:p>
    <w:p>
      <w:pPr>
        <w:keepNext w:val="0"/>
        <w:keepLines w:val="0"/>
        <w:pageBreakBefore w:val="0"/>
        <w:widowControl w:val="0"/>
        <w:tabs>
          <w:tab w:val="left" w:pos="1095"/>
        </w:tabs>
        <w:kinsoku/>
        <w:wordWrap/>
        <w:overflowPunct/>
        <w:topLinePunct w:val="0"/>
        <w:autoSpaceDE/>
        <w:autoSpaceDN/>
        <w:bidi w:val="0"/>
        <w:spacing w:line="560" w:lineRule="exact"/>
        <w:ind w:left="0" w:leftChars="0" w:firstLine="560" w:firstLineChars="200"/>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6</w:t>
      </w:r>
      <w:r>
        <w:rPr>
          <w:rFonts w:ascii="楷体_GB2312" w:hAnsi="宋体" w:eastAsia="楷体_GB2312"/>
          <w:sz w:val="28"/>
          <w:szCs w:val="28"/>
        </w:rPr>
        <w:t>.</w:t>
      </w:r>
      <w:r>
        <w:rPr>
          <w:rFonts w:hint="eastAsia" w:ascii="楷体_GB2312" w:hAnsi="宋体" w:eastAsia="楷体_GB2312"/>
          <w:sz w:val="28"/>
          <w:szCs w:val="28"/>
        </w:rPr>
        <w:t>磋商结束后，磋商小组要求所有参加</w:t>
      </w:r>
      <w:r>
        <w:rPr>
          <w:rFonts w:hint="eastAsia" w:ascii="楷体_GB2312" w:hAnsi="宋体" w:eastAsia="楷体_GB2312"/>
          <w:sz w:val="28"/>
          <w:szCs w:val="28"/>
          <w:lang w:val="en-US" w:eastAsia="zh-CN"/>
        </w:rPr>
        <w:t>正式</w:t>
      </w:r>
      <w:r>
        <w:rPr>
          <w:rFonts w:hint="eastAsia" w:ascii="楷体_GB2312" w:hAnsi="宋体" w:eastAsia="楷体_GB2312"/>
          <w:sz w:val="28"/>
          <w:szCs w:val="28"/>
        </w:rPr>
        <w:t>磋商的供应商</w:t>
      </w:r>
      <w:r>
        <w:rPr>
          <w:rFonts w:hint="eastAsia" w:ascii="楷体_GB2312" w:hAnsi="宋体" w:eastAsia="楷体_GB2312"/>
          <w:sz w:val="28"/>
          <w:szCs w:val="28"/>
          <w:lang w:val="en-US" w:eastAsia="zh-CN"/>
        </w:rPr>
        <w:t>现场提交经授权代表签字并加盖公章的《</w:t>
      </w:r>
      <w:r>
        <w:rPr>
          <w:rFonts w:hint="eastAsia" w:ascii="楷体_GB2312" w:hAnsi="宋体" w:eastAsia="楷体_GB2312"/>
          <w:sz w:val="28"/>
          <w:szCs w:val="28"/>
        </w:rPr>
        <w:t>最后报价</w:t>
      </w:r>
      <w:r>
        <w:rPr>
          <w:rFonts w:hint="eastAsia" w:ascii="楷体_GB2312" w:hAnsi="宋体" w:eastAsia="楷体_GB2312"/>
          <w:sz w:val="28"/>
          <w:szCs w:val="28"/>
          <w:lang w:val="en-US" w:eastAsia="zh-CN"/>
        </w:rPr>
        <w:t>函》（格式如同附件1，自行修改标题等关键文字）</w:t>
      </w:r>
      <w:r>
        <w:rPr>
          <w:rFonts w:hint="eastAsia" w:ascii="楷体_GB2312" w:hAnsi="宋体" w:eastAsia="楷体_GB2312"/>
          <w:sz w:val="28"/>
          <w:szCs w:val="28"/>
        </w:rPr>
        <w:t>。</w:t>
      </w:r>
      <w:r>
        <w:rPr>
          <w:rFonts w:hint="eastAsia" w:ascii="楷体_GB2312" w:hAnsi="宋体" w:eastAsia="楷体_GB2312"/>
          <w:sz w:val="28"/>
          <w:szCs w:val="28"/>
          <w:lang w:val="en-US" w:eastAsia="zh-CN"/>
        </w:rPr>
        <w:t>已提交响应文件的供应商，在提交最后报价之前，可以根据磋商情况退出磋商，提交最后报价的供应商不得少于3家。</w:t>
      </w:r>
    </w:p>
    <w:p>
      <w:pPr>
        <w:keepNext w:val="0"/>
        <w:keepLines w:val="0"/>
        <w:pageBreakBefore w:val="0"/>
        <w:widowControl w:val="0"/>
        <w:tabs>
          <w:tab w:val="left" w:pos="1095"/>
        </w:tabs>
        <w:kinsoku/>
        <w:wordWrap/>
        <w:overflowPunct/>
        <w:topLinePunct w:val="0"/>
        <w:autoSpaceDE/>
        <w:autoSpaceDN/>
        <w:bidi w:val="0"/>
        <w:spacing w:line="560" w:lineRule="exact"/>
        <w:ind w:left="0" w:leftChars="0" w:firstLine="560" w:firstLineChars="200"/>
        <w:textAlignment w:val="auto"/>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7.</w:t>
      </w:r>
      <w:r>
        <w:rPr>
          <w:rFonts w:hint="eastAsia" w:ascii="楷体_GB2312" w:hAnsi="宋体" w:eastAsia="楷体_GB2312"/>
          <w:sz w:val="28"/>
          <w:szCs w:val="28"/>
        </w:rPr>
        <w:t>磋商小组</w:t>
      </w:r>
      <w:r>
        <w:rPr>
          <w:rFonts w:hint="eastAsia" w:ascii="楷体_GB2312" w:hAnsi="宋体" w:eastAsia="楷体_GB2312"/>
          <w:sz w:val="28"/>
          <w:szCs w:val="28"/>
          <w:lang w:val="en-US" w:eastAsia="zh-CN"/>
        </w:rPr>
        <w:t>采用综合评分法对提交最后报价的</w:t>
      </w:r>
      <w:r>
        <w:rPr>
          <w:rFonts w:hint="eastAsia" w:ascii="楷体_GB2312" w:hAnsi="宋体" w:eastAsia="楷体_GB2312"/>
          <w:sz w:val="28"/>
          <w:szCs w:val="28"/>
        </w:rPr>
        <w:t>供应商</w:t>
      </w:r>
      <w:r>
        <w:rPr>
          <w:rFonts w:hint="eastAsia" w:ascii="楷体_GB2312" w:hAnsi="宋体" w:eastAsia="楷体_GB2312"/>
          <w:sz w:val="28"/>
          <w:szCs w:val="28"/>
          <w:lang w:val="en-US" w:eastAsia="zh-CN"/>
        </w:rPr>
        <w:t>响应文件和最后报价</w:t>
      </w:r>
      <w:r>
        <w:rPr>
          <w:rFonts w:hint="eastAsia" w:ascii="楷体_GB2312" w:hAnsi="宋体" w:eastAsia="楷体_GB2312"/>
          <w:sz w:val="28"/>
          <w:szCs w:val="28"/>
        </w:rPr>
        <w:t>进行综合评分，按最终得分由高到低的顺序</w:t>
      </w:r>
      <w:r>
        <w:rPr>
          <w:rFonts w:hint="eastAsia" w:ascii="楷体_GB2312" w:hAnsi="宋体" w:eastAsia="楷体_GB2312"/>
          <w:sz w:val="28"/>
          <w:szCs w:val="28"/>
          <w:lang w:val="en-US" w:eastAsia="zh-CN"/>
        </w:rPr>
        <w:t>推荐3家</w:t>
      </w:r>
      <w:r>
        <w:rPr>
          <w:rFonts w:hint="eastAsia" w:ascii="楷体_GB2312" w:hAnsi="宋体" w:eastAsia="楷体_GB2312"/>
          <w:sz w:val="28"/>
          <w:szCs w:val="28"/>
        </w:rPr>
        <w:t>成交</w:t>
      </w:r>
      <w:r>
        <w:rPr>
          <w:rFonts w:hint="eastAsia" w:ascii="楷体_GB2312" w:hAnsi="宋体" w:eastAsia="楷体_GB2312"/>
          <w:sz w:val="28"/>
          <w:szCs w:val="28"/>
          <w:lang w:val="en-US" w:eastAsia="zh-CN"/>
        </w:rPr>
        <w:t>候选供应商，并编写评审报告</w:t>
      </w:r>
      <w:r>
        <w:rPr>
          <w:rFonts w:hint="eastAsia" w:ascii="楷体_GB2312" w:hAnsi="宋体" w:eastAsia="楷体_GB2312"/>
          <w:sz w:val="28"/>
          <w:szCs w:val="28"/>
        </w:rPr>
        <w:t>。</w:t>
      </w:r>
      <w:r>
        <w:rPr>
          <w:rFonts w:hint="eastAsia" w:ascii="楷体_GB2312" w:hAnsi="宋体" w:eastAsia="楷体_GB2312"/>
          <w:sz w:val="28"/>
          <w:szCs w:val="28"/>
          <w:lang w:val="en-US" w:eastAsia="zh-CN"/>
        </w:rPr>
        <w:t>评审得分相同的，按最后报价由低到高的顺序推荐；评审得分且最后报价相同的，按照服务方案优劣顺序推荐。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outlineLvl w:val="1"/>
        <w:rPr>
          <w:rFonts w:hint="default" w:ascii="黑体" w:hAnsi="黑体" w:eastAsia="黑体"/>
          <w:sz w:val="28"/>
          <w:szCs w:val="28"/>
          <w:lang w:val="en-US" w:eastAsia="zh-CN"/>
        </w:rPr>
      </w:pPr>
      <w:bookmarkStart w:id="19" w:name="_Toc21128"/>
      <w:r>
        <w:rPr>
          <w:rFonts w:hint="eastAsia" w:ascii="黑体" w:hAnsi="黑体" w:eastAsia="黑体"/>
          <w:sz w:val="28"/>
          <w:szCs w:val="28"/>
        </w:rPr>
        <w:t>七、</w:t>
      </w:r>
      <w:bookmarkEnd w:id="18"/>
      <w:r>
        <w:rPr>
          <w:rFonts w:hint="eastAsia" w:ascii="黑体" w:hAnsi="黑体" w:eastAsia="黑体"/>
          <w:sz w:val="28"/>
          <w:szCs w:val="28"/>
          <w:lang w:val="en-US" w:eastAsia="zh-CN"/>
        </w:rPr>
        <w:t>确定成交供应商</w:t>
      </w:r>
      <w:bookmarkEnd w:id="19"/>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rPr>
        <w:t>1</w:t>
      </w:r>
      <w:r>
        <w:rPr>
          <w:rFonts w:ascii="楷体_GB2312" w:hAnsi="宋体" w:eastAsia="楷体_GB2312"/>
          <w:sz w:val="28"/>
          <w:szCs w:val="28"/>
        </w:rPr>
        <w:t>.</w:t>
      </w:r>
      <w:r>
        <w:rPr>
          <w:rFonts w:hint="eastAsia" w:ascii="楷体_GB2312" w:hAnsi="宋体" w:eastAsia="楷体_GB2312"/>
          <w:sz w:val="28"/>
          <w:szCs w:val="28"/>
          <w:lang w:val="en-US" w:eastAsia="zh-CN"/>
        </w:rPr>
        <w:t>采购人将依序确定排名第一的成交候选供应商为成交供应商，若成交供应商放弃成交、因不可抗力或自身原因不能履行合同的，采购人可以确定排名在其后一位的成交候选供应商为成交供应商。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ascii="楷体_GB2312" w:hAnsi="宋体" w:eastAsia="楷体_GB2312"/>
          <w:sz w:val="28"/>
          <w:szCs w:val="28"/>
        </w:rPr>
        <w:t>2.</w:t>
      </w:r>
      <w:r>
        <w:rPr>
          <w:rFonts w:hint="eastAsia" w:ascii="楷体_GB2312" w:hAnsi="宋体" w:eastAsia="楷体_GB2312"/>
          <w:sz w:val="28"/>
          <w:szCs w:val="28"/>
        </w:rPr>
        <w:t>采购人</w:t>
      </w:r>
      <w:r>
        <w:rPr>
          <w:rFonts w:hint="eastAsia" w:ascii="楷体_GB2312" w:hAnsi="宋体" w:eastAsia="楷体_GB2312"/>
          <w:sz w:val="28"/>
          <w:szCs w:val="28"/>
          <w:lang w:val="en-US" w:eastAsia="zh-CN"/>
        </w:rPr>
        <w:t>向确定的成交供应商发出</w:t>
      </w:r>
      <w:r>
        <w:rPr>
          <w:rFonts w:hint="eastAsia" w:ascii="楷体_GB2312" w:hAnsi="宋体" w:eastAsia="楷体_GB2312"/>
          <w:sz w:val="28"/>
          <w:szCs w:val="28"/>
        </w:rPr>
        <w:t>《</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通知书》</w:t>
      </w:r>
      <w:r>
        <w:rPr>
          <w:rFonts w:hint="eastAsia" w:ascii="楷体_GB2312" w:hAnsi="宋体" w:eastAsia="楷体_GB2312"/>
          <w:sz w:val="28"/>
          <w:szCs w:val="28"/>
          <w:lang w:eastAsia="zh-CN"/>
        </w:rPr>
        <w:t>，</w:t>
      </w:r>
      <w:r>
        <w:rPr>
          <w:rFonts w:hint="eastAsia" w:ascii="楷体_GB2312" w:hAnsi="宋体" w:eastAsia="楷体_GB2312"/>
          <w:sz w:val="28"/>
          <w:szCs w:val="28"/>
        </w:rPr>
        <w:t>同时将</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结果通知所有未</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的供应商。采购人对未</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原因不做解释。《</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通知书》将是签订协议的依据，具有法律效力。</w:t>
      </w:r>
      <w:r>
        <w:rPr>
          <w:rFonts w:hint="eastAsia" w:ascii="楷体_GB2312" w:hAnsi="宋体" w:eastAsia="楷体_GB2312"/>
          <w:sz w:val="28"/>
          <w:szCs w:val="28"/>
          <w:lang w:eastAsia="zh-CN"/>
        </w:rPr>
        <w:t>《</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通知书</w:t>
      </w:r>
      <w:r>
        <w:rPr>
          <w:rFonts w:hint="eastAsia" w:ascii="楷体_GB2312" w:hAnsi="宋体" w:eastAsia="楷体_GB2312"/>
          <w:sz w:val="28"/>
          <w:szCs w:val="28"/>
          <w:lang w:eastAsia="zh-CN"/>
        </w:rPr>
        <w:t>》</w:t>
      </w:r>
      <w:r>
        <w:rPr>
          <w:rFonts w:hint="eastAsia" w:ascii="楷体_GB2312" w:hAnsi="宋体" w:eastAsia="楷体_GB2312"/>
          <w:sz w:val="28"/>
          <w:szCs w:val="28"/>
        </w:rPr>
        <w:t>发出后，采购人改变</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结果，或者</w:t>
      </w:r>
      <w:r>
        <w:rPr>
          <w:rFonts w:hint="eastAsia" w:ascii="楷体_GB2312" w:hAnsi="宋体" w:eastAsia="楷体_GB2312"/>
          <w:sz w:val="28"/>
          <w:szCs w:val="28"/>
          <w:lang w:val="en-US" w:eastAsia="zh-CN"/>
        </w:rPr>
        <w:t>成交供应商</w:t>
      </w:r>
      <w:r>
        <w:rPr>
          <w:rFonts w:hint="eastAsia" w:ascii="楷体_GB2312" w:hAnsi="宋体" w:eastAsia="楷体_GB2312"/>
          <w:sz w:val="28"/>
          <w:szCs w:val="28"/>
        </w:rPr>
        <w:t>放弃</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，应当承担相应的法律责任。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楷体_GB2312" w:hAnsi="宋体" w:eastAsia="楷体_GB2312"/>
          <w:sz w:val="28"/>
          <w:szCs w:val="28"/>
          <w:lang w:eastAsia="zh-CN"/>
        </w:rPr>
      </w:pPr>
      <w:r>
        <w:rPr>
          <w:rFonts w:hint="eastAsia" w:ascii="楷体_GB2312" w:hAnsi="宋体" w:eastAsia="楷体_GB2312"/>
          <w:sz w:val="28"/>
          <w:szCs w:val="28"/>
        </w:rPr>
        <w:t>3</w:t>
      </w:r>
      <w:r>
        <w:rPr>
          <w:rFonts w:ascii="楷体_GB2312" w:hAnsi="宋体" w:eastAsia="楷体_GB2312"/>
          <w:sz w:val="28"/>
          <w:szCs w:val="28"/>
        </w:rPr>
        <w:t>.</w:t>
      </w:r>
      <w:r>
        <w:rPr>
          <w:rFonts w:hint="eastAsia" w:ascii="楷体_GB2312" w:hAnsi="宋体" w:eastAsia="楷体_GB2312"/>
          <w:sz w:val="28"/>
          <w:szCs w:val="28"/>
          <w:lang w:val="en-US" w:eastAsia="zh-CN"/>
        </w:rPr>
        <w:t>成交供应商</w:t>
      </w:r>
      <w:r>
        <w:rPr>
          <w:rFonts w:hint="eastAsia" w:ascii="楷体_GB2312" w:hAnsi="宋体" w:eastAsia="楷体_GB2312"/>
          <w:sz w:val="28"/>
          <w:szCs w:val="28"/>
        </w:rPr>
        <w:t>接到《</w:t>
      </w:r>
      <w:r>
        <w:rPr>
          <w:rFonts w:hint="eastAsia" w:ascii="楷体_GB2312" w:hAnsi="宋体" w:eastAsia="楷体_GB2312"/>
          <w:sz w:val="28"/>
          <w:szCs w:val="28"/>
          <w:lang w:val="en-US" w:eastAsia="zh-CN"/>
        </w:rPr>
        <w:t>成交</w:t>
      </w:r>
      <w:r>
        <w:rPr>
          <w:rFonts w:hint="eastAsia" w:ascii="楷体_GB2312" w:hAnsi="宋体" w:eastAsia="楷体_GB2312"/>
          <w:sz w:val="28"/>
          <w:szCs w:val="28"/>
        </w:rPr>
        <w:t>通知书》后，应按照采购人通知的时间、地点与采购人签订协议书</w:t>
      </w:r>
      <w:bookmarkStart w:id="20" w:name="_第三章__投标文件的编制要求和递交"/>
      <w:bookmarkEnd w:id="20"/>
      <w:r>
        <w:rPr>
          <w:rFonts w:hint="eastAsia" w:ascii="楷体_GB2312" w:hAnsi="宋体" w:eastAsia="楷体_GB2312"/>
          <w:sz w:val="28"/>
          <w:szCs w:val="28"/>
          <w:lang w:eastAsia="zh-CN"/>
        </w:rPr>
        <w:t>。</w:t>
      </w:r>
      <w:bookmarkStart w:id="21" w:name="_Toc10194"/>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outlineLvl w:val="1"/>
        <w:rPr>
          <w:rFonts w:hint="eastAsia" w:ascii="黑体" w:hAnsi="黑体" w:eastAsia="黑体" w:cs="黑体"/>
          <w:sz w:val="28"/>
          <w:szCs w:val="28"/>
          <w:lang w:val="en-US" w:eastAsia="zh-CN"/>
        </w:rPr>
      </w:pPr>
      <w:bookmarkStart w:id="22" w:name="_Toc27216"/>
      <w:r>
        <w:rPr>
          <w:rFonts w:hint="eastAsia" w:ascii="黑体" w:hAnsi="黑体" w:eastAsia="黑体" w:cs="黑体"/>
          <w:sz w:val="28"/>
          <w:szCs w:val="28"/>
          <w:lang w:val="en-US" w:eastAsia="zh-CN"/>
        </w:rPr>
        <w:t>八、注意事项</w:t>
      </w:r>
      <w:bookmarkEnd w:id="22"/>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ascii="楷体_GB2312" w:hAnsi="宋体" w:eastAsia="楷体_GB2312"/>
          <w:sz w:val="28"/>
          <w:szCs w:val="28"/>
        </w:rPr>
        <w:t>有下列情况之一的</w:t>
      </w:r>
      <w:r>
        <w:rPr>
          <w:rFonts w:hint="eastAsia" w:ascii="楷体_GB2312" w:hAnsi="宋体" w:eastAsia="楷体_GB2312"/>
          <w:sz w:val="28"/>
          <w:szCs w:val="28"/>
        </w:rPr>
        <w:t>视为</w:t>
      </w:r>
      <w:r>
        <w:rPr>
          <w:rFonts w:hint="eastAsia" w:ascii="楷体_GB2312" w:hAnsi="宋体" w:eastAsia="楷体_GB2312"/>
          <w:sz w:val="28"/>
          <w:szCs w:val="28"/>
          <w:lang w:val="en-US" w:eastAsia="zh-CN"/>
        </w:rPr>
        <w:t>无效磋商</w:t>
      </w:r>
      <w:r>
        <w:rPr>
          <w:rFonts w:ascii="楷体_GB2312" w:hAnsi="宋体" w:eastAsia="楷体_GB2312"/>
          <w:sz w:val="28"/>
          <w:szCs w:val="28"/>
        </w:rPr>
        <w:t>：</w:t>
      </w:r>
      <w:bookmarkEnd w:id="21"/>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1.供应商</w:t>
      </w:r>
      <w:r>
        <w:rPr>
          <w:rFonts w:ascii="楷体_GB2312" w:hAnsi="宋体" w:eastAsia="楷体_GB2312"/>
          <w:sz w:val="28"/>
          <w:szCs w:val="28"/>
        </w:rPr>
        <w:t>无法</w:t>
      </w:r>
      <w:r>
        <w:rPr>
          <w:rFonts w:hint="eastAsia" w:ascii="楷体_GB2312" w:hAnsi="宋体" w:eastAsia="楷体_GB2312"/>
          <w:sz w:val="28"/>
          <w:szCs w:val="28"/>
        </w:rPr>
        <w:t>定</w:t>
      </w:r>
      <w:r>
        <w:rPr>
          <w:rFonts w:ascii="楷体_GB2312" w:hAnsi="宋体" w:eastAsia="楷体_GB2312"/>
          <w:sz w:val="28"/>
          <w:szCs w:val="28"/>
        </w:rPr>
        <w:t>代表</w:t>
      </w:r>
      <w:r>
        <w:rPr>
          <w:rFonts w:hint="eastAsia" w:ascii="楷体_GB2312" w:hAnsi="宋体" w:eastAsia="楷体_GB2312"/>
          <w:sz w:val="28"/>
          <w:szCs w:val="28"/>
        </w:rPr>
        <w:t>人</w:t>
      </w:r>
      <w:r>
        <w:rPr>
          <w:rFonts w:ascii="楷体_GB2312" w:hAnsi="宋体" w:eastAsia="楷体_GB2312"/>
          <w:sz w:val="28"/>
          <w:szCs w:val="28"/>
        </w:rPr>
        <w:t>签字，或签字无法</w:t>
      </w:r>
      <w:r>
        <w:rPr>
          <w:rFonts w:hint="eastAsia" w:ascii="楷体_GB2312" w:hAnsi="宋体" w:eastAsia="楷体_GB2312"/>
          <w:sz w:val="28"/>
          <w:szCs w:val="28"/>
        </w:rPr>
        <w:t>定</w:t>
      </w:r>
      <w:r>
        <w:rPr>
          <w:rFonts w:ascii="楷体_GB2312" w:hAnsi="宋体" w:eastAsia="楷体_GB2312"/>
          <w:sz w:val="28"/>
          <w:szCs w:val="28"/>
        </w:rPr>
        <w:t>代表</w:t>
      </w:r>
      <w:r>
        <w:rPr>
          <w:rFonts w:hint="eastAsia" w:ascii="楷体_GB2312" w:hAnsi="宋体" w:eastAsia="楷体_GB2312"/>
          <w:sz w:val="28"/>
          <w:szCs w:val="28"/>
        </w:rPr>
        <w:t>人</w:t>
      </w:r>
      <w:r>
        <w:rPr>
          <w:rFonts w:ascii="楷体_GB2312" w:hAnsi="宋体" w:eastAsia="楷体_GB2312"/>
          <w:sz w:val="28"/>
          <w:szCs w:val="28"/>
        </w:rPr>
        <w:t>有效</w:t>
      </w:r>
      <w:r>
        <w:rPr>
          <w:rFonts w:hint="eastAsia" w:ascii="楷体_GB2312" w:hAnsi="宋体" w:eastAsia="楷体_GB2312"/>
          <w:sz w:val="28"/>
          <w:szCs w:val="28"/>
        </w:rPr>
        <w:t>授权</w:t>
      </w:r>
      <w:r>
        <w:rPr>
          <w:rFonts w:ascii="楷体_GB2312" w:hAnsi="宋体" w:eastAsia="楷体_GB2312"/>
          <w:sz w:val="28"/>
          <w:szCs w:val="28"/>
        </w:rPr>
        <w:t>委托的；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2.</w:t>
      </w:r>
      <w:r>
        <w:rPr>
          <w:rFonts w:ascii="楷体_GB2312" w:hAnsi="宋体" w:eastAsia="楷体_GB2312"/>
          <w:sz w:val="28"/>
          <w:szCs w:val="28"/>
        </w:rPr>
        <w:t>由于</w:t>
      </w:r>
      <w:r>
        <w:rPr>
          <w:rFonts w:hint="eastAsia" w:ascii="楷体_GB2312" w:hAnsi="宋体" w:eastAsia="楷体_GB2312"/>
          <w:sz w:val="28"/>
          <w:szCs w:val="28"/>
        </w:rPr>
        <w:t>供应商</w:t>
      </w:r>
      <w:r>
        <w:rPr>
          <w:rFonts w:ascii="楷体_GB2312" w:hAnsi="宋体" w:eastAsia="楷体_GB2312"/>
          <w:sz w:val="28"/>
          <w:szCs w:val="28"/>
        </w:rPr>
        <w:t>原因，</w:t>
      </w:r>
      <w:r>
        <w:rPr>
          <w:rFonts w:hint="eastAsia" w:ascii="楷体_GB2312" w:hAnsi="宋体" w:eastAsia="楷体_GB2312"/>
          <w:sz w:val="28"/>
          <w:szCs w:val="28"/>
        </w:rPr>
        <w:t>响应</w:t>
      </w:r>
      <w:r>
        <w:rPr>
          <w:rFonts w:ascii="楷体_GB2312" w:hAnsi="宋体" w:eastAsia="楷体_GB2312"/>
          <w:sz w:val="28"/>
          <w:szCs w:val="28"/>
        </w:rPr>
        <w:t>文件在</w:t>
      </w:r>
      <w:r>
        <w:rPr>
          <w:rFonts w:hint="eastAsia" w:ascii="楷体_GB2312" w:hAnsi="宋体" w:eastAsia="楷体_GB2312"/>
          <w:sz w:val="28"/>
          <w:szCs w:val="28"/>
        </w:rPr>
        <w:t>采购人</w:t>
      </w:r>
      <w:r>
        <w:rPr>
          <w:rFonts w:ascii="楷体_GB2312" w:hAnsi="宋体" w:eastAsia="楷体_GB2312"/>
          <w:sz w:val="28"/>
          <w:szCs w:val="28"/>
        </w:rPr>
        <w:t>要求提交</w:t>
      </w:r>
      <w:r>
        <w:rPr>
          <w:rFonts w:hint="eastAsia" w:ascii="楷体_GB2312" w:hAnsi="宋体" w:eastAsia="楷体_GB2312"/>
          <w:sz w:val="28"/>
          <w:szCs w:val="28"/>
        </w:rPr>
        <w:t>响应</w:t>
      </w:r>
      <w:r>
        <w:rPr>
          <w:rFonts w:ascii="楷体_GB2312" w:hAnsi="宋体" w:eastAsia="楷体_GB2312"/>
          <w:sz w:val="28"/>
          <w:szCs w:val="28"/>
        </w:rPr>
        <w:t>文件的截止时间后送达的；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3.</w:t>
      </w:r>
      <w:r>
        <w:rPr>
          <w:rFonts w:hint="eastAsia" w:ascii="楷体_GB2312" w:hAnsi="宋体" w:eastAsia="楷体_GB2312"/>
          <w:sz w:val="28"/>
          <w:szCs w:val="28"/>
        </w:rPr>
        <w:t>响应</w:t>
      </w:r>
      <w:r>
        <w:rPr>
          <w:rFonts w:ascii="楷体_GB2312" w:hAnsi="宋体" w:eastAsia="楷体_GB2312"/>
          <w:sz w:val="28"/>
          <w:szCs w:val="28"/>
        </w:rPr>
        <w:t>文件不符合</w:t>
      </w:r>
      <w:r>
        <w:rPr>
          <w:rFonts w:hint="eastAsia" w:ascii="楷体_GB2312" w:hAnsi="宋体" w:eastAsia="楷体_GB2312"/>
          <w:sz w:val="28"/>
          <w:szCs w:val="28"/>
        </w:rPr>
        <w:t>竞争性磋商</w:t>
      </w:r>
      <w:r>
        <w:rPr>
          <w:rFonts w:ascii="楷体_GB2312" w:hAnsi="宋体" w:eastAsia="楷体_GB2312"/>
          <w:sz w:val="28"/>
          <w:szCs w:val="28"/>
        </w:rPr>
        <w:t>文件要求的</w:t>
      </w:r>
      <w:r>
        <w:rPr>
          <w:rFonts w:hint="eastAsia" w:ascii="楷体_GB2312" w:hAnsi="宋体" w:eastAsia="楷体_GB2312"/>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4.</w:t>
      </w:r>
      <w:r>
        <w:rPr>
          <w:rFonts w:hint="eastAsia" w:ascii="楷体_GB2312" w:hAnsi="宋体" w:eastAsia="楷体_GB2312"/>
          <w:sz w:val="28"/>
          <w:szCs w:val="28"/>
        </w:rPr>
        <w:t>供应商</w:t>
      </w:r>
      <w:r>
        <w:rPr>
          <w:rFonts w:ascii="楷体_GB2312" w:hAnsi="宋体" w:eastAsia="楷体_GB2312"/>
          <w:sz w:val="28"/>
          <w:szCs w:val="28"/>
        </w:rPr>
        <w:t>在投标活动中违反诚实信用，损害</w:t>
      </w:r>
      <w:r>
        <w:rPr>
          <w:rFonts w:hint="eastAsia" w:ascii="楷体_GB2312" w:hAnsi="宋体" w:eastAsia="楷体_GB2312"/>
          <w:sz w:val="28"/>
          <w:szCs w:val="28"/>
        </w:rPr>
        <w:t>采购人</w:t>
      </w:r>
      <w:r>
        <w:rPr>
          <w:rFonts w:ascii="楷体_GB2312" w:hAnsi="宋体" w:eastAsia="楷体_GB2312"/>
          <w:sz w:val="28"/>
          <w:szCs w:val="28"/>
        </w:rPr>
        <w:t>或者其他</w:t>
      </w:r>
      <w:r>
        <w:rPr>
          <w:rFonts w:hint="eastAsia" w:ascii="楷体_GB2312" w:hAnsi="宋体" w:eastAsia="楷体_GB2312"/>
          <w:sz w:val="28"/>
          <w:szCs w:val="28"/>
        </w:rPr>
        <w:t>供应商</w:t>
      </w:r>
      <w:r>
        <w:rPr>
          <w:rFonts w:ascii="楷体_GB2312" w:hAnsi="宋体" w:eastAsia="楷体_GB2312"/>
          <w:sz w:val="28"/>
          <w:szCs w:val="28"/>
        </w:rPr>
        <w:t xml:space="preserve">合法权益的；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楷体_GB2312" w:hAnsi="宋体" w:eastAsia="楷体_GB2312"/>
          <w:sz w:val="28"/>
          <w:szCs w:val="28"/>
        </w:rPr>
      </w:pPr>
      <w:r>
        <w:rPr>
          <w:rFonts w:hint="eastAsia" w:ascii="楷体_GB2312" w:hAnsi="宋体" w:eastAsia="楷体_GB2312"/>
          <w:sz w:val="28"/>
          <w:szCs w:val="28"/>
          <w:lang w:val="en-US" w:eastAsia="zh-CN"/>
        </w:rPr>
        <w:t>5.</w:t>
      </w:r>
      <w:r>
        <w:rPr>
          <w:rFonts w:ascii="楷体_GB2312" w:hAnsi="宋体" w:eastAsia="楷体_GB2312"/>
          <w:sz w:val="28"/>
          <w:szCs w:val="28"/>
        </w:rPr>
        <w:t>违反本</w:t>
      </w:r>
      <w:r>
        <w:rPr>
          <w:rFonts w:hint="eastAsia" w:ascii="楷体_GB2312" w:hAnsi="宋体" w:eastAsia="楷体_GB2312"/>
          <w:sz w:val="28"/>
          <w:szCs w:val="28"/>
        </w:rPr>
        <w:t>供应商</w:t>
      </w:r>
      <w:r>
        <w:rPr>
          <w:rFonts w:ascii="楷体_GB2312" w:hAnsi="宋体" w:eastAsia="楷体_GB2312"/>
          <w:sz w:val="28"/>
          <w:szCs w:val="28"/>
        </w:rPr>
        <w:t>须知的保密要求，将</w:t>
      </w:r>
      <w:r>
        <w:rPr>
          <w:rFonts w:hint="eastAsia" w:ascii="楷体_GB2312" w:hAnsi="宋体" w:eastAsia="楷体_GB2312"/>
          <w:sz w:val="28"/>
          <w:szCs w:val="28"/>
        </w:rPr>
        <w:t>磋商</w:t>
      </w:r>
      <w:r>
        <w:rPr>
          <w:rFonts w:ascii="楷体_GB2312" w:hAnsi="宋体" w:eastAsia="楷体_GB2312"/>
          <w:sz w:val="28"/>
          <w:szCs w:val="28"/>
        </w:rPr>
        <w:t>文件透露给第三方的；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楷体_GB2312" w:hAnsi="宋体" w:eastAsia="楷体_GB2312"/>
          <w:sz w:val="28"/>
          <w:szCs w:val="28"/>
          <w:lang w:eastAsia="zh-CN"/>
        </w:rPr>
      </w:pPr>
      <w:r>
        <w:rPr>
          <w:rFonts w:hint="eastAsia" w:ascii="楷体_GB2312" w:hAnsi="宋体" w:eastAsia="楷体_GB2312"/>
          <w:sz w:val="28"/>
          <w:szCs w:val="28"/>
          <w:lang w:val="en-US" w:eastAsia="zh-CN"/>
        </w:rPr>
        <w:t>6.</w:t>
      </w:r>
      <w:r>
        <w:rPr>
          <w:rFonts w:hint="eastAsia" w:ascii="楷体_GB2312" w:hAnsi="宋体" w:eastAsia="楷体_GB2312"/>
          <w:sz w:val="28"/>
          <w:szCs w:val="28"/>
        </w:rPr>
        <w:t>评审</w:t>
      </w:r>
      <w:r>
        <w:rPr>
          <w:rFonts w:ascii="楷体_GB2312" w:hAnsi="宋体" w:eastAsia="楷体_GB2312"/>
          <w:sz w:val="28"/>
          <w:szCs w:val="28"/>
        </w:rPr>
        <w:t>过程中以各种形式或手段干扰评</w:t>
      </w:r>
      <w:r>
        <w:rPr>
          <w:rFonts w:hint="eastAsia" w:ascii="楷体_GB2312" w:hAnsi="宋体" w:eastAsia="楷体_GB2312"/>
          <w:sz w:val="28"/>
          <w:szCs w:val="28"/>
          <w:lang w:val="en-US" w:eastAsia="zh-CN"/>
        </w:rPr>
        <w:t>审</w:t>
      </w:r>
      <w:r>
        <w:rPr>
          <w:rFonts w:ascii="楷体_GB2312" w:hAnsi="宋体" w:eastAsia="楷体_GB2312"/>
          <w:sz w:val="28"/>
          <w:szCs w:val="28"/>
        </w:rPr>
        <w:t>的</w:t>
      </w:r>
      <w:r>
        <w:rPr>
          <w:rFonts w:hint="eastAsia" w:ascii="楷体_GB2312" w:hAnsi="宋体" w:eastAsia="楷体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7.供应商以联合体形式参与谈判的。</w:t>
      </w: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eastAsia="黑体"/>
          <w:lang w:val="en-US" w:eastAsia="zh-CN"/>
        </w:rPr>
      </w:pPr>
      <w:bookmarkStart w:id="23" w:name="_Toc14994"/>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评审办法</w:t>
      </w:r>
      <w:bookmarkEnd w:id="23"/>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both"/>
        <w:textAlignment w:val="auto"/>
        <w:outlineLvl w:val="1"/>
        <w:rPr>
          <w:rFonts w:hint="default" w:ascii="黑体" w:hAnsi="黑体" w:eastAsia="黑体" w:cs="黑体"/>
          <w:sz w:val="28"/>
          <w:szCs w:val="28"/>
          <w:lang w:val="en-US" w:eastAsia="zh-CN"/>
        </w:rPr>
      </w:pPr>
      <w:bookmarkStart w:id="24" w:name="_Toc11370"/>
      <w:r>
        <w:rPr>
          <w:rFonts w:hint="eastAsia" w:ascii="黑体" w:hAnsi="黑体" w:eastAsia="黑体" w:cs="黑体"/>
          <w:sz w:val="28"/>
          <w:szCs w:val="28"/>
          <w:lang w:val="en-US" w:eastAsia="zh-CN"/>
        </w:rPr>
        <w:t>一、评审方法</w:t>
      </w:r>
      <w:bookmarkEnd w:id="24"/>
    </w:p>
    <w:p>
      <w:pPr>
        <w:keepNext w:val="0"/>
        <w:keepLines w:val="0"/>
        <w:pageBreakBefore w:val="0"/>
        <w:widowControl/>
        <w:kinsoku/>
        <w:wordWrap/>
        <w:overflowPunct/>
        <w:topLinePunct w:val="0"/>
        <w:autoSpaceDE/>
        <w:autoSpaceDN/>
        <w:bidi w:val="0"/>
        <w:snapToGrid w:val="0"/>
        <w:spacing w:line="560" w:lineRule="exact"/>
        <w:ind w:firstLine="560" w:firstLineChars="200"/>
        <w:jc w:val="both"/>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本次评审采用综合评分法，将依据响应人响应文件对其报价、机构综合实力、团队能力、服务方案等各项因素进行综合评价，综合评选出最佳响应方案。</w:t>
      </w:r>
    </w:p>
    <w:tbl>
      <w:tblPr>
        <w:tblStyle w:val="11"/>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b/>
                <w:bCs/>
                <w:sz w:val="28"/>
                <w:szCs w:val="28"/>
                <w:vertAlign w:val="baseline"/>
                <w:lang w:val="en-US" w:eastAsia="zh-CN"/>
              </w:rPr>
            </w:pPr>
            <w:r>
              <w:rPr>
                <w:rFonts w:hint="eastAsia" w:ascii="楷体_GB2312" w:hAnsi="宋体" w:eastAsia="楷体_GB2312"/>
                <w:b/>
                <w:bCs/>
                <w:sz w:val="28"/>
                <w:szCs w:val="28"/>
                <w:vertAlign w:val="baseline"/>
                <w:lang w:val="en-US" w:eastAsia="zh-CN"/>
              </w:rPr>
              <w:t>评分因素</w:t>
            </w:r>
          </w:p>
        </w:tc>
        <w:tc>
          <w:tcPr>
            <w:tcW w:w="4559"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b/>
                <w:bCs/>
                <w:sz w:val="28"/>
                <w:szCs w:val="28"/>
                <w:vertAlign w:val="baseline"/>
                <w:lang w:val="en-US" w:eastAsia="zh-CN"/>
              </w:rPr>
            </w:pPr>
            <w:r>
              <w:rPr>
                <w:rFonts w:hint="eastAsia" w:ascii="楷体_GB2312" w:hAnsi="宋体" w:eastAsia="楷体_GB2312"/>
                <w:b/>
                <w:bCs/>
                <w:sz w:val="28"/>
                <w:szCs w:val="28"/>
                <w:vertAlign w:val="baseline"/>
                <w:lang w:val="en-US" w:eastAsia="zh-CN"/>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项目报价</w:t>
            </w:r>
          </w:p>
        </w:tc>
        <w:tc>
          <w:tcPr>
            <w:tcW w:w="4559"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综合实力</w:t>
            </w:r>
          </w:p>
        </w:tc>
        <w:tc>
          <w:tcPr>
            <w:tcW w:w="4559"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团队能力</w:t>
            </w:r>
          </w:p>
        </w:tc>
        <w:tc>
          <w:tcPr>
            <w:tcW w:w="4559"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服务方案</w:t>
            </w:r>
          </w:p>
        </w:tc>
        <w:tc>
          <w:tcPr>
            <w:tcW w:w="4559" w:type="dxa"/>
          </w:tcPr>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楷体_GB2312" w:hAnsi="宋体" w:eastAsia="楷体_GB2312"/>
                <w:sz w:val="28"/>
                <w:szCs w:val="28"/>
                <w:vertAlign w:val="baseline"/>
                <w:lang w:val="en-US" w:eastAsia="zh-CN"/>
              </w:rPr>
            </w:pPr>
            <w:r>
              <w:rPr>
                <w:rFonts w:hint="eastAsia" w:ascii="楷体_GB2312" w:hAnsi="宋体" w:eastAsia="楷体_GB2312"/>
                <w:sz w:val="28"/>
                <w:szCs w:val="28"/>
                <w:vertAlign w:val="baseline"/>
                <w:lang w:val="en-US" w:eastAsia="zh-CN"/>
              </w:rPr>
              <w:t>25</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both"/>
        <w:textAlignment w:val="auto"/>
        <w:outlineLvl w:val="1"/>
        <w:rPr>
          <w:rFonts w:hint="eastAsia" w:ascii="黑体" w:hAnsi="黑体" w:eastAsia="黑体" w:cs="黑体"/>
          <w:sz w:val="28"/>
          <w:szCs w:val="28"/>
          <w:lang w:val="en-US" w:eastAsia="zh-CN"/>
        </w:rPr>
      </w:pPr>
      <w:bookmarkStart w:id="25" w:name="_Toc29371"/>
      <w:r>
        <w:rPr>
          <w:rFonts w:hint="eastAsia" w:ascii="黑体" w:hAnsi="黑体" w:eastAsia="黑体" w:cs="黑体"/>
          <w:sz w:val="28"/>
          <w:szCs w:val="28"/>
          <w:lang w:val="en-US" w:eastAsia="zh-CN"/>
        </w:rPr>
        <w:t>二、评分细则</w:t>
      </w:r>
      <w:bookmarkEnd w:id="25"/>
    </w:p>
    <w:p>
      <w:pPr>
        <w:keepNext w:val="0"/>
        <w:keepLines w:val="0"/>
        <w:pageBreakBefore w:val="0"/>
        <w:widowControl/>
        <w:kinsoku/>
        <w:wordWrap/>
        <w:overflowPunct/>
        <w:topLinePunct w:val="0"/>
        <w:autoSpaceDE/>
        <w:autoSpaceDN/>
        <w:bidi w:val="0"/>
        <w:snapToGrid w:val="0"/>
        <w:spacing w:line="560" w:lineRule="exact"/>
        <w:ind w:firstLine="560" w:firstLineChars="200"/>
        <w:jc w:val="both"/>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本项目的评审由磋商小组从项目报价、综合实力、团队能力、服务方案等方面进行评分，总分为100分。供应商的最终得分是磋商小组所有成员给其评分后的算数平均值。各分项如下：</w:t>
      </w:r>
    </w:p>
    <w:tbl>
      <w:tblPr>
        <w:tblStyle w:val="11"/>
        <w:tblW w:w="931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34"/>
        <w:gridCol w:w="1745"/>
        <w:gridCol w:w="907"/>
        <w:gridCol w:w="53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7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评分内容</w:t>
            </w:r>
          </w:p>
        </w:tc>
        <w:tc>
          <w:tcPr>
            <w:tcW w:w="90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分值</w:t>
            </w:r>
          </w:p>
        </w:tc>
        <w:tc>
          <w:tcPr>
            <w:tcW w:w="53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jc w:val="center"/>
        </w:trPr>
        <w:tc>
          <w:tcPr>
            <w:tcW w:w="1334" w:type="dxa"/>
            <w:tcBorders>
              <w:top w:val="single" w:color="000000" w:themeColor="text1" w:sz="4" w:space="0"/>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项目报价</w:t>
            </w:r>
          </w:p>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（3</w:t>
            </w:r>
            <w:r>
              <w:rPr>
                <w:rFonts w:hint="eastAsia" w:ascii="楷体" w:hAnsi="楷体" w:eastAsia="楷体" w:cs="楷体"/>
                <w:b/>
                <w:bCs/>
                <w:sz w:val="24"/>
                <w:szCs w:val="24"/>
                <w:lang w:val="en-US" w:eastAsia="zh-CN"/>
              </w:rPr>
              <w:t>5</w:t>
            </w:r>
            <w:r>
              <w:rPr>
                <w:rFonts w:hint="eastAsia" w:ascii="楷体" w:hAnsi="楷体" w:eastAsia="楷体" w:cs="楷体"/>
                <w:b/>
                <w:bCs/>
                <w:sz w:val="24"/>
                <w:szCs w:val="24"/>
              </w:rPr>
              <w:t>）</w:t>
            </w: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lang w:val="en-US" w:eastAsia="zh-CN"/>
              </w:rPr>
              <w:t>最后报</w:t>
            </w:r>
            <w:r>
              <w:rPr>
                <w:rFonts w:hint="eastAsia" w:ascii="楷体" w:hAnsi="楷体" w:eastAsia="楷体" w:cs="楷体"/>
                <w:sz w:val="24"/>
                <w:szCs w:val="24"/>
              </w:rPr>
              <w:t>价</w:t>
            </w:r>
          </w:p>
        </w:tc>
        <w:tc>
          <w:tcPr>
            <w:tcW w:w="9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lang w:eastAsia="zh-CN"/>
              </w:rPr>
            </w:pPr>
            <w:r>
              <w:rPr>
                <w:rFonts w:hint="eastAsia" w:ascii="楷体" w:hAnsi="楷体" w:eastAsia="楷体" w:cs="楷体"/>
                <w:sz w:val="24"/>
                <w:szCs w:val="24"/>
              </w:rPr>
              <w:t>3</w:t>
            </w:r>
            <w:r>
              <w:rPr>
                <w:rFonts w:hint="eastAsia" w:ascii="楷体" w:hAnsi="楷体" w:eastAsia="楷体" w:cs="楷体"/>
                <w:sz w:val="24"/>
                <w:szCs w:val="24"/>
                <w:lang w:val="en-US" w:eastAsia="zh-CN"/>
              </w:rPr>
              <w:t>5</w:t>
            </w:r>
          </w:p>
        </w:tc>
        <w:tc>
          <w:tcPr>
            <w:tcW w:w="53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right="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价格分统一采用低价优先法计算，</w:t>
            </w:r>
            <w:r>
              <w:rPr>
                <w:rFonts w:hint="default" w:ascii="楷体" w:hAnsi="楷体" w:eastAsia="楷体" w:cs="楷体"/>
                <w:sz w:val="24"/>
                <w:szCs w:val="24"/>
                <w:lang w:val="en-US" w:eastAsia="zh-CN"/>
              </w:rPr>
              <w:t>即满足磋商文件要求且最后报价最低的供应商的价格为磋商基准价，其价格分为满分。其他供应商的价格分统一按照下列公式计算: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right="0"/>
              <w:textAlignment w:val="auto"/>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磋商报价得分=(磋商基准价/最后磋商报价)×</w:t>
            </w:r>
            <w:r>
              <w:rPr>
                <w:rFonts w:hint="eastAsia" w:ascii="楷体" w:hAnsi="楷体" w:eastAsia="楷体" w:cs="楷体"/>
                <w:sz w:val="24"/>
                <w:szCs w:val="24"/>
                <w:lang w:val="en-US" w:eastAsia="zh-CN"/>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jc w:val="center"/>
        </w:trPr>
        <w:tc>
          <w:tcPr>
            <w:tcW w:w="1334" w:type="dxa"/>
            <w:vMerge w:val="restart"/>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综合实力</w:t>
            </w:r>
          </w:p>
          <w:p>
            <w:pPr>
              <w:spacing w:line="400" w:lineRule="exact"/>
              <w:jc w:val="center"/>
              <w:rPr>
                <w:rFonts w:hint="eastAsia" w:ascii="楷体" w:hAnsi="楷体" w:eastAsia="楷体" w:cs="楷体"/>
                <w:sz w:val="24"/>
                <w:szCs w:val="24"/>
              </w:rPr>
            </w:pPr>
            <w:r>
              <w:rPr>
                <w:rFonts w:hint="eastAsia" w:ascii="楷体" w:hAnsi="楷体" w:eastAsia="楷体" w:cs="楷体"/>
                <w:b/>
                <w:bCs/>
                <w:sz w:val="24"/>
                <w:szCs w:val="24"/>
              </w:rPr>
              <w:t>（</w:t>
            </w:r>
            <w:r>
              <w:rPr>
                <w:rFonts w:hint="eastAsia" w:ascii="楷体" w:hAnsi="楷体" w:eastAsia="楷体" w:cs="楷体"/>
                <w:b/>
                <w:bCs/>
                <w:sz w:val="24"/>
                <w:szCs w:val="24"/>
                <w:lang w:val="en-US" w:eastAsia="zh-CN"/>
              </w:rPr>
              <w:t>10</w:t>
            </w:r>
            <w:r>
              <w:rPr>
                <w:rFonts w:hint="eastAsia" w:ascii="楷体" w:hAnsi="楷体" w:eastAsia="楷体" w:cs="楷体"/>
                <w:b/>
                <w:bCs/>
                <w:sz w:val="24"/>
                <w:szCs w:val="24"/>
                <w:lang w:eastAsia="zh-CN"/>
              </w:rPr>
              <w:t>）</w:t>
            </w: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近三年IPO服务业绩</w:t>
            </w:r>
          </w:p>
        </w:tc>
        <w:tc>
          <w:tcPr>
            <w:tcW w:w="907" w:type="dxa"/>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left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2019年至2021年上半年成功发行上市的服务项目数量最多的，得5分；</w:t>
            </w:r>
            <w:r>
              <w:rPr>
                <w:rFonts w:hint="eastAsia" w:ascii="楷体" w:hAnsi="楷体" w:eastAsia="楷体" w:cs="楷体"/>
                <w:sz w:val="24"/>
                <w:szCs w:val="24"/>
                <w:lang w:val="en-US" w:eastAsia="zh-CN"/>
              </w:rPr>
              <w:t>其他视数量多少酌情扣分</w:t>
            </w:r>
            <w:r>
              <w:rPr>
                <w:rFonts w:hint="eastAsia" w:ascii="楷体" w:hAnsi="楷体" w:eastAsia="楷体" w:cs="楷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jc w:val="center"/>
        </w:trPr>
        <w:tc>
          <w:tcPr>
            <w:tcW w:w="1334" w:type="dxa"/>
            <w:vMerge w:val="continue"/>
            <w:tcBorders>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资源和沟通</w:t>
            </w:r>
          </w:p>
        </w:tc>
        <w:tc>
          <w:tcPr>
            <w:tcW w:w="907" w:type="dxa"/>
            <w:tcBorders>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left w:val="single" w:color="000000" w:themeColor="text1" w:sz="4" w:space="0"/>
              <w:bottom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具有相关资源，且与有关部门沟通渠道畅通的，得5分；</w:t>
            </w:r>
            <w:r>
              <w:rPr>
                <w:rFonts w:hint="eastAsia" w:ascii="楷体" w:hAnsi="楷体" w:eastAsia="楷体" w:cs="楷体"/>
                <w:sz w:val="24"/>
                <w:szCs w:val="24"/>
                <w:lang w:val="en-US" w:eastAsia="zh-CN"/>
              </w:rPr>
              <w:t>否则视情况扣分</w:t>
            </w:r>
            <w:r>
              <w:rPr>
                <w:rFonts w:hint="eastAsia" w:ascii="楷体" w:hAnsi="楷体" w:eastAsia="楷体" w:cs="楷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jc w:val="center"/>
        </w:trPr>
        <w:tc>
          <w:tcPr>
            <w:tcW w:w="1334" w:type="dxa"/>
            <w:vMerge w:val="restart"/>
            <w:tcBorders>
              <w:top w:val="single" w:color="000000" w:themeColor="text1" w:sz="4" w:space="0"/>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团队能力</w:t>
            </w:r>
          </w:p>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(30)</w:t>
            </w: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项目团队组成</w:t>
            </w:r>
          </w:p>
        </w:tc>
        <w:tc>
          <w:tcPr>
            <w:tcW w:w="907" w:type="dxa"/>
            <w:tcBorders>
              <w:top w:val="single" w:color="000000" w:themeColor="text1" w:sz="4" w:space="0"/>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top w:val="single" w:color="000000" w:themeColor="text1" w:sz="4" w:space="0"/>
              <w:left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团队成员数量合理、分工明确的，得5分；</w:t>
            </w:r>
            <w:r>
              <w:rPr>
                <w:rFonts w:hint="eastAsia" w:ascii="楷体" w:hAnsi="楷体" w:eastAsia="楷体" w:cs="楷体"/>
                <w:sz w:val="24"/>
                <w:szCs w:val="24"/>
                <w:lang w:val="en-US" w:eastAsia="zh-CN"/>
              </w:rPr>
              <w:t>否则视情况扣分</w:t>
            </w:r>
            <w:r>
              <w:rPr>
                <w:rFonts w:hint="eastAsia" w:ascii="楷体" w:hAnsi="楷体" w:eastAsia="楷体" w:cs="楷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jc w:val="center"/>
        </w:trPr>
        <w:tc>
          <w:tcPr>
            <w:tcW w:w="1334" w:type="dxa"/>
            <w:vMerge w:val="continue"/>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团队负责人的资历</w:t>
            </w:r>
          </w:p>
        </w:tc>
        <w:tc>
          <w:tcPr>
            <w:tcW w:w="907" w:type="dxa"/>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10</w:t>
            </w:r>
          </w:p>
        </w:tc>
        <w:tc>
          <w:tcPr>
            <w:tcW w:w="5329" w:type="dxa"/>
            <w:tcBorders>
              <w:left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总负责人为机构合伙人、担任上市委员会委员、能有效调动机构内部资源，</w:t>
            </w:r>
            <w:r>
              <w:rPr>
                <w:rFonts w:hint="eastAsia" w:ascii="楷体" w:hAnsi="楷体" w:eastAsia="楷体" w:cs="楷体"/>
                <w:sz w:val="24"/>
                <w:szCs w:val="24"/>
                <w:lang w:val="en-US" w:eastAsia="zh-CN"/>
              </w:rPr>
              <w:t>且现场负责人有5年以上工作经验、3个以上IPO服务经验的，</w:t>
            </w:r>
            <w:r>
              <w:rPr>
                <w:rFonts w:hint="eastAsia" w:ascii="楷体" w:hAnsi="楷体" w:eastAsia="楷体" w:cs="楷体"/>
                <w:sz w:val="24"/>
                <w:szCs w:val="24"/>
              </w:rPr>
              <w:t>得10分；少1项扣2分。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jc w:val="center"/>
        </w:trPr>
        <w:tc>
          <w:tcPr>
            <w:tcW w:w="1334" w:type="dxa"/>
            <w:vMerge w:val="continue"/>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国有企业IPO项目经验</w:t>
            </w:r>
          </w:p>
        </w:tc>
        <w:tc>
          <w:tcPr>
            <w:tcW w:w="907" w:type="dxa"/>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10</w:t>
            </w:r>
          </w:p>
        </w:tc>
        <w:tc>
          <w:tcPr>
            <w:tcW w:w="5329" w:type="dxa"/>
            <w:tcBorders>
              <w:left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2019年以来团队成员服务的国有企业成功发行上市数量最多的，得10分；</w:t>
            </w:r>
            <w:r>
              <w:rPr>
                <w:rFonts w:hint="eastAsia" w:ascii="楷体" w:hAnsi="楷体" w:eastAsia="楷体" w:cs="楷体"/>
                <w:sz w:val="24"/>
                <w:szCs w:val="24"/>
                <w:lang w:val="en-US" w:eastAsia="zh-CN"/>
              </w:rPr>
              <w:t>其他视数量多少酌情扣分</w:t>
            </w:r>
            <w:r>
              <w:rPr>
                <w:rFonts w:hint="eastAsia" w:ascii="楷体" w:hAnsi="楷体" w:eastAsia="楷体" w:cs="楷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jc w:val="center"/>
        </w:trPr>
        <w:tc>
          <w:tcPr>
            <w:tcW w:w="1334" w:type="dxa"/>
            <w:vMerge w:val="continue"/>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在办项目数量</w:t>
            </w:r>
          </w:p>
        </w:tc>
        <w:tc>
          <w:tcPr>
            <w:tcW w:w="907" w:type="dxa"/>
            <w:tcBorders>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left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除本项目外，</w:t>
            </w:r>
            <w:r>
              <w:rPr>
                <w:rFonts w:hint="eastAsia" w:ascii="楷体" w:hAnsi="楷体" w:eastAsia="楷体" w:cs="楷体"/>
                <w:sz w:val="24"/>
                <w:szCs w:val="24"/>
                <w:lang w:val="en-US" w:eastAsia="zh-CN"/>
              </w:rPr>
              <w:t>现场负责人</w:t>
            </w:r>
            <w:r>
              <w:rPr>
                <w:rFonts w:hint="eastAsia" w:ascii="楷体" w:hAnsi="楷体" w:eastAsia="楷体" w:cs="楷体"/>
                <w:sz w:val="24"/>
                <w:szCs w:val="24"/>
              </w:rPr>
              <w:t>当前同时在办项目</w:t>
            </w:r>
            <w:r>
              <w:rPr>
                <w:rFonts w:hint="eastAsia" w:ascii="楷体" w:hAnsi="楷体" w:eastAsia="楷体" w:cs="楷体"/>
                <w:sz w:val="24"/>
                <w:szCs w:val="24"/>
                <w:lang w:val="en-US" w:eastAsia="zh-CN"/>
              </w:rPr>
              <w:t>少</w:t>
            </w:r>
            <w:r>
              <w:rPr>
                <w:rFonts w:hint="eastAsia" w:ascii="楷体" w:hAnsi="楷体" w:eastAsia="楷体" w:cs="楷体"/>
                <w:sz w:val="24"/>
                <w:szCs w:val="24"/>
              </w:rPr>
              <w:t>于2个的，得5分；2个</w:t>
            </w:r>
            <w:r>
              <w:rPr>
                <w:rFonts w:hint="eastAsia" w:ascii="楷体" w:hAnsi="楷体" w:eastAsia="楷体" w:cs="楷体"/>
                <w:sz w:val="24"/>
                <w:szCs w:val="24"/>
                <w:lang w:val="en-US" w:eastAsia="zh-CN"/>
              </w:rPr>
              <w:t>及</w:t>
            </w:r>
            <w:r>
              <w:rPr>
                <w:rFonts w:hint="eastAsia" w:ascii="楷体" w:hAnsi="楷体" w:eastAsia="楷体" w:cs="楷体"/>
                <w:sz w:val="24"/>
                <w:szCs w:val="24"/>
              </w:rPr>
              <w:t>以上的，得3分。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34" w:type="dxa"/>
            <w:vMerge w:val="restart"/>
            <w:tcBorders>
              <w:top w:val="single" w:color="000000" w:themeColor="text1" w:sz="4" w:space="0"/>
              <w:left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服务方案</w:t>
            </w:r>
          </w:p>
          <w:p>
            <w:pPr>
              <w:spacing w:line="400" w:lineRule="exact"/>
              <w:jc w:val="center"/>
              <w:rPr>
                <w:rFonts w:hint="eastAsia" w:ascii="楷体" w:hAnsi="楷体" w:eastAsia="楷体" w:cs="楷体"/>
                <w:b/>
                <w:bCs/>
                <w:sz w:val="24"/>
                <w:szCs w:val="24"/>
              </w:rPr>
            </w:pPr>
            <w:r>
              <w:rPr>
                <w:rFonts w:hint="eastAsia" w:ascii="楷体" w:hAnsi="楷体" w:eastAsia="楷体" w:cs="楷体"/>
                <w:b/>
                <w:bCs/>
                <w:sz w:val="24"/>
                <w:szCs w:val="24"/>
              </w:rPr>
              <w:t>(25)</w:t>
            </w: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ind w:firstLine="120" w:firstLineChars="50"/>
              <w:jc w:val="center"/>
              <w:rPr>
                <w:rFonts w:hint="eastAsia" w:ascii="楷体" w:hAnsi="楷体" w:eastAsia="楷体" w:cs="楷体"/>
                <w:sz w:val="24"/>
                <w:szCs w:val="24"/>
              </w:rPr>
            </w:pPr>
            <w:r>
              <w:rPr>
                <w:rFonts w:hint="eastAsia" w:ascii="楷体" w:hAnsi="楷体" w:eastAsia="楷体" w:cs="楷体"/>
                <w:sz w:val="24"/>
                <w:szCs w:val="24"/>
              </w:rPr>
              <w:t>服务内容全面性</w:t>
            </w:r>
          </w:p>
        </w:tc>
        <w:tc>
          <w:tcPr>
            <w:tcW w:w="9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10</w:t>
            </w:r>
          </w:p>
        </w:tc>
        <w:tc>
          <w:tcPr>
            <w:tcW w:w="53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lang w:val="en-US" w:eastAsia="zh-CN"/>
              </w:rPr>
              <w:t>最后报</w:t>
            </w:r>
            <w:r>
              <w:rPr>
                <w:rFonts w:hint="eastAsia" w:ascii="楷体" w:hAnsi="楷体" w:eastAsia="楷体" w:cs="楷体"/>
                <w:sz w:val="24"/>
                <w:szCs w:val="24"/>
              </w:rPr>
              <w:t>价涵盖企业上市过程各阶段所需服务的，得10分；企业所需服务不全面的，视程度扣分。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34" w:type="dxa"/>
            <w:vMerge w:val="continue"/>
            <w:tcBorders>
              <w:left w:val="single" w:color="000000" w:themeColor="text1" w:sz="4" w:space="0"/>
              <w:right w:val="single" w:color="000000" w:themeColor="text1" w:sz="4" w:space="0"/>
            </w:tcBorders>
            <w:vAlign w:val="center"/>
          </w:tcPr>
          <w:p>
            <w:pPr>
              <w:widowControl/>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驻场工作时间</w:t>
            </w:r>
          </w:p>
        </w:tc>
        <w:tc>
          <w:tcPr>
            <w:tcW w:w="9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密集工作阶段保证项目组成员足数驻场至工作完成的，得5分；不满足的，</w:t>
            </w:r>
            <w:r>
              <w:rPr>
                <w:rFonts w:hint="eastAsia" w:ascii="楷体" w:hAnsi="楷体" w:eastAsia="楷体" w:cs="楷体"/>
                <w:sz w:val="24"/>
                <w:szCs w:val="24"/>
                <w:lang w:val="en-US" w:eastAsia="zh-CN"/>
              </w:rPr>
              <w:t>视情况扣分</w:t>
            </w:r>
            <w:r>
              <w:rPr>
                <w:rFonts w:hint="eastAsia" w:ascii="楷体" w:hAnsi="楷体" w:eastAsia="楷体" w:cs="楷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34" w:type="dxa"/>
            <w:vMerge w:val="continue"/>
            <w:tcBorders>
              <w:left w:val="single" w:color="000000" w:themeColor="text1" w:sz="4" w:space="0"/>
              <w:right w:val="single" w:color="000000" w:themeColor="text1" w:sz="4" w:space="0"/>
            </w:tcBorders>
            <w:vAlign w:val="center"/>
          </w:tcPr>
          <w:p>
            <w:pPr>
              <w:widowControl/>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与相关方的沟通机制</w:t>
            </w:r>
          </w:p>
        </w:tc>
        <w:tc>
          <w:tcPr>
            <w:tcW w:w="9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rPr>
              <w:t>有机制保障及时与公司及其他中介机构沟通、汇报的，得5分；没有的，</w:t>
            </w:r>
            <w:r>
              <w:rPr>
                <w:rFonts w:hint="eastAsia" w:ascii="楷体" w:hAnsi="楷体" w:eastAsia="楷体" w:cs="楷体"/>
                <w:sz w:val="24"/>
                <w:szCs w:val="24"/>
                <w:lang w:val="en-US" w:eastAsia="zh-CN"/>
              </w:rPr>
              <w:t>视情况扣分</w:t>
            </w:r>
            <w:r>
              <w:rPr>
                <w:rFonts w:hint="eastAsia" w:ascii="楷体" w:hAnsi="楷体" w:eastAsia="楷体" w:cs="楷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34" w:type="dxa"/>
            <w:vMerge w:val="continue"/>
            <w:tcBorders>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楷体" w:hAnsi="楷体" w:eastAsia="楷体" w:cs="楷体"/>
                <w:sz w:val="24"/>
                <w:szCs w:val="24"/>
              </w:rPr>
            </w:pPr>
          </w:p>
        </w:tc>
        <w:tc>
          <w:tcPr>
            <w:tcW w:w="17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项目周期</w:t>
            </w:r>
          </w:p>
        </w:tc>
        <w:tc>
          <w:tcPr>
            <w:tcW w:w="9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楷体" w:hAnsi="楷体" w:eastAsia="楷体" w:cs="楷体"/>
                <w:sz w:val="24"/>
                <w:szCs w:val="24"/>
              </w:rPr>
            </w:pPr>
            <w:r>
              <w:rPr>
                <w:rFonts w:hint="eastAsia" w:ascii="楷体" w:hAnsi="楷体" w:eastAsia="楷体" w:cs="楷体"/>
                <w:sz w:val="24"/>
                <w:szCs w:val="24"/>
              </w:rPr>
              <w:t>5</w:t>
            </w:r>
          </w:p>
        </w:tc>
        <w:tc>
          <w:tcPr>
            <w:tcW w:w="53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rPr>
                <w:rFonts w:hint="eastAsia" w:ascii="楷体" w:hAnsi="楷体" w:eastAsia="楷体" w:cs="楷体"/>
                <w:sz w:val="24"/>
                <w:szCs w:val="24"/>
              </w:rPr>
            </w:pPr>
            <w:r>
              <w:rPr>
                <w:rFonts w:hint="eastAsia" w:ascii="楷体" w:hAnsi="楷体" w:eastAsia="楷体" w:cs="楷体"/>
                <w:sz w:val="24"/>
                <w:szCs w:val="24"/>
                <w:lang w:val="en-US" w:eastAsia="zh-CN"/>
              </w:rPr>
              <w:t>最后</w:t>
            </w:r>
            <w:r>
              <w:rPr>
                <w:rFonts w:hint="eastAsia" w:ascii="楷体" w:hAnsi="楷体" w:eastAsia="楷体" w:cs="楷体"/>
                <w:sz w:val="24"/>
                <w:szCs w:val="24"/>
              </w:rPr>
              <w:t>报价涵盖项目周期到2024年</w:t>
            </w:r>
            <w:r>
              <w:rPr>
                <w:rFonts w:hint="eastAsia" w:ascii="楷体" w:hAnsi="楷体" w:eastAsia="楷体" w:cs="楷体"/>
                <w:sz w:val="24"/>
                <w:szCs w:val="24"/>
                <w:lang w:val="en-US" w:eastAsia="zh-CN"/>
              </w:rPr>
              <w:t>全年</w:t>
            </w:r>
            <w:r>
              <w:rPr>
                <w:rFonts w:hint="eastAsia" w:ascii="楷体" w:hAnsi="楷体" w:eastAsia="楷体" w:cs="楷体"/>
                <w:sz w:val="24"/>
                <w:szCs w:val="24"/>
              </w:rPr>
              <w:t>的，得5分；</w:t>
            </w:r>
            <w:r>
              <w:rPr>
                <w:rFonts w:hint="eastAsia" w:ascii="楷体" w:hAnsi="楷体" w:eastAsia="楷体" w:cs="楷体"/>
                <w:sz w:val="24"/>
                <w:szCs w:val="24"/>
                <w:lang w:val="en-US" w:eastAsia="zh-CN"/>
              </w:rPr>
              <w:t>不足的，</w:t>
            </w:r>
            <w:r>
              <w:rPr>
                <w:rFonts w:hint="eastAsia" w:ascii="楷体" w:hAnsi="楷体" w:eastAsia="楷体" w:cs="楷体"/>
                <w:sz w:val="24"/>
                <w:szCs w:val="24"/>
              </w:rPr>
              <w:t>得</w:t>
            </w:r>
            <w:r>
              <w:rPr>
                <w:rFonts w:hint="eastAsia" w:ascii="楷体" w:hAnsi="楷体" w:eastAsia="楷体" w:cs="楷体"/>
                <w:sz w:val="24"/>
                <w:szCs w:val="24"/>
                <w:lang w:val="en-US" w:eastAsia="zh-CN"/>
              </w:rPr>
              <w:t>3</w:t>
            </w:r>
            <w:r>
              <w:rPr>
                <w:rFonts w:hint="eastAsia" w:ascii="楷体" w:hAnsi="楷体" w:eastAsia="楷体" w:cs="楷体"/>
                <w:sz w:val="24"/>
                <w:szCs w:val="24"/>
              </w:rPr>
              <w:t>分。</w:t>
            </w:r>
          </w:p>
        </w:tc>
      </w:tr>
    </w:tbl>
    <w:p>
      <w:pPr>
        <w:keepNext w:val="0"/>
        <w:keepLines w:val="0"/>
        <w:pageBreakBefore w:val="0"/>
        <w:widowControl/>
        <w:kinsoku/>
        <w:wordWrap/>
        <w:overflowPunct/>
        <w:topLinePunct w:val="0"/>
        <w:autoSpaceDE/>
        <w:autoSpaceDN/>
        <w:bidi w:val="0"/>
        <w:snapToGrid w:val="0"/>
        <w:spacing w:line="560" w:lineRule="exact"/>
        <w:ind w:firstLine="560" w:firstLineChars="200"/>
        <w:jc w:val="both"/>
        <w:textAlignment w:val="auto"/>
        <w:rPr>
          <w:rFonts w:hint="default" w:ascii="楷体_GB2312" w:hAnsi="宋体" w:eastAsia="楷体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both"/>
        <w:textAlignment w:val="auto"/>
        <w:outlineLvl w:val="1"/>
        <w:rPr>
          <w:rFonts w:hint="default" w:ascii="黑体" w:hAnsi="黑体" w:eastAsia="黑体" w:cs="黑体"/>
          <w:sz w:val="28"/>
          <w:szCs w:val="28"/>
          <w:lang w:val="en-US" w:eastAsia="zh-CN"/>
        </w:rPr>
      </w:pPr>
    </w:p>
    <w:p>
      <w:pPr>
        <w:keepNext w:val="0"/>
        <w:keepLines w:val="0"/>
        <w:pageBreakBefore w:val="0"/>
        <w:widowControl/>
        <w:kinsoku/>
        <w:wordWrap/>
        <w:overflowPunct/>
        <w:topLinePunct w:val="0"/>
        <w:autoSpaceDE/>
        <w:autoSpaceDN/>
        <w:bidi w:val="0"/>
        <w:snapToGrid w:val="0"/>
        <w:spacing w:line="560" w:lineRule="exact"/>
        <w:ind w:firstLine="420" w:firstLineChars="200"/>
        <w:jc w:val="both"/>
        <w:textAlignment w:val="auto"/>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widowControl/>
        <w:snapToGrid w:val="0"/>
        <w:spacing w:line="360" w:lineRule="auto"/>
        <w:jc w:val="left"/>
      </w:pPr>
    </w:p>
    <w:p>
      <w:pPr>
        <w:spacing w:line="440" w:lineRule="exac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1</w:t>
      </w:r>
      <w:r>
        <w:rPr>
          <w:rFonts w:hint="eastAsia" w:ascii="黑体" w:hAnsi="黑体" w:eastAsia="黑体" w:cs="黑体"/>
          <w:sz w:val="28"/>
          <w:szCs w:val="28"/>
        </w:rPr>
        <w:t>：</w:t>
      </w:r>
    </w:p>
    <w:p>
      <w:pPr>
        <w:spacing w:line="440" w:lineRule="exact"/>
        <w:jc w:val="center"/>
        <w:rPr>
          <w:rFonts w:hint="eastAsia" w:cs="方正小标宋简体" w:asciiTheme="minorEastAsia" w:hAnsiTheme="minorEastAsia" w:eastAsiaTheme="minorEastAsia"/>
          <w:b/>
          <w:bCs/>
          <w:sz w:val="36"/>
          <w:szCs w:val="36"/>
        </w:rPr>
      </w:pPr>
      <w:r>
        <w:rPr>
          <w:rFonts w:hint="eastAsia" w:cs="黑体" w:asciiTheme="minorEastAsia" w:hAnsiTheme="minorEastAsia" w:eastAsiaTheme="minorEastAsia"/>
          <w:b/>
          <w:bCs/>
          <w:sz w:val="36"/>
          <w:szCs w:val="36"/>
        </w:rPr>
        <w:t>报价函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致：</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6"/>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就贵公司引入上市中介服务机构（律师事务所）项目，基于本所对该项目法律服务内容的理解，参照同类项目经验，我们提出如下报价方案：</w:t>
      </w:r>
    </w:p>
    <w:p>
      <w:pPr>
        <w:keepNext w:val="0"/>
        <w:keepLines w:val="0"/>
        <w:pageBreakBefore w:val="0"/>
        <w:widowControl w:val="0"/>
        <w:kinsoku/>
        <w:wordWrap/>
        <w:overflowPunct/>
        <w:topLinePunct w:val="0"/>
        <w:autoSpaceDE/>
        <w:autoSpaceDN/>
        <w:bidi w:val="0"/>
        <w:adjustRightInd/>
        <w:snapToGrid/>
        <w:spacing w:line="520" w:lineRule="exact"/>
        <w:ind w:firstLine="576"/>
        <w:textAlignment w:val="auto"/>
        <w:rPr>
          <w:rFonts w:hint="eastAsia" w:asciiTheme="minorEastAsia" w:hAnsiTheme="minorEastAsia" w:eastAsiaTheme="minorEastAsia"/>
          <w:sz w:val="28"/>
          <w:szCs w:val="28"/>
          <w:u w:val="single"/>
        </w:rPr>
      </w:pPr>
      <w:r>
        <w:rPr>
          <w:rFonts w:hint="eastAsia" w:asciiTheme="minorEastAsia" w:hAnsiTheme="minorEastAsia" w:eastAsiaTheme="minorEastAsia"/>
          <w:sz w:val="28"/>
          <w:szCs w:val="28"/>
        </w:rPr>
        <w:t>一、本所法律服务费总报价为人民币</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，其中包含</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（各分项费用）</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，项目周期截至</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（日期）</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561"/>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二、本项目采取分阶段收费的方式，</w:t>
      </w:r>
      <w:r>
        <w:rPr>
          <w:rFonts w:hint="eastAsia" w:asciiTheme="minorEastAsia" w:hAnsiTheme="minorEastAsia" w:eastAsiaTheme="minorEastAsia"/>
          <w:sz w:val="28"/>
          <w:szCs w:val="28"/>
          <w:lang w:val="en-US" w:eastAsia="zh-CN"/>
        </w:rPr>
        <w:t>如遇</w:t>
      </w:r>
      <w:r>
        <w:rPr>
          <w:rFonts w:hint="eastAsia" w:asciiTheme="minorEastAsia" w:hAnsiTheme="minorEastAsia" w:eastAsiaTheme="minorEastAsia"/>
          <w:sz w:val="28"/>
          <w:szCs w:val="28"/>
        </w:rPr>
        <w:t>政策</w:t>
      </w:r>
      <w:r>
        <w:rPr>
          <w:rFonts w:hint="eastAsia" w:asciiTheme="minorEastAsia" w:hAnsiTheme="minorEastAsia" w:eastAsiaTheme="minorEastAsia"/>
          <w:sz w:val="28"/>
          <w:szCs w:val="28"/>
          <w:lang w:val="en-US" w:eastAsia="zh-CN"/>
        </w:rPr>
        <w:t>变化</w:t>
      </w:r>
      <w:r>
        <w:rPr>
          <w:rFonts w:hint="eastAsia" w:asciiTheme="minorEastAsia" w:hAnsiTheme="minorEastAsia" w:eastAsiaTheme="minorEastAsia"/>
          <w:sz w:val="28"/>
          <w:szCs w:val="28"/>
        </w:rPr>
        <w:t>或采购人上级审批原因导致上市中断的，按阶段性工作成果收取费用。具体支付节点如下：</w:t>
      </w:r>
    </w:p>
    <w:tbl>
      <w:tblPr>
        <w:tblStyle w:val="11"/>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355"/>
        <w:gridCol w:w="180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52" w:type="dxa"/>
            <w:vAlign w:val="center"/>
          </w:tcPr>
          <w:p>
            <w:pPr>
              <w:jc w:val="center"/>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5355" w:type="dxa"/>
            <w:vAlign w:val="center"/>
          </w:tcPr>
          <w:p>
            <w:pPr>
              <w:jc w:val="center"/>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支付时间</w:t>
            </w:r>
          </w:p>
        </w:tc>
        <w:tc>
          <w:tcPr>
            <w:tcW w:w="1804" w:type="dxa"/>
            <w:vAlign w:val="center"/>
          </w:tcPr>
          <w:p>
            <w:pPr>
              <w:jc w:val="center"/>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金额（万元）</w:t>
            </w:r>
          </w:p>
        </w:tc>
        <w:tc>
          <w:tcPr>
            <w:tcW w:w="1211" w:type="dxa"/>
            <w:vAlign w:val="center"/>
          </w:tcPr>
          <w:p>
            <w:pPr>
              <w:jc w:val="center"/>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签署专项法律顾问合同且经办律师开始进场尽调之日起五个工作日内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完成混合所有制改革之日起五个工作日内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完成股份制改制之日起五个工作日内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向中国证监会或证券交易所申报上市材料之日起五个工作日内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完成第一轮证监会/交易所反馈问询回复之日起五个工作日内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I</w:t>
            </w:r>
            <w:r>
              <w:rPr>
                <w:rFonts w:asciiTheme="minorEastAsia" w:hAnsiTheme="minorEastAsia" w:eastAsiaTheme="minorEastAsia"/>
                <w:sz w:val="24"/>
                <w:szCs w:val="24"/>
              </w:rPr>
              <w:t>PO</w:t>
            </w:r>
            <w:r>
              <w:rPr>
                <w:rFonts w:hint="eastAsia" w:asciiTheme="minorEastAsia" w:hAnsiTheme="minorEastAsia" w:eastAsiaTheme="minorEastAsia"/>
                <w:sz w:val="24"/>
                <w:szCs w:val="24"/>
              </w:rPr>
              <w:t>申请获得交易所审核通过并取得中国证监会注册同意（或审核通过）之日起五个工作日内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5355"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首次公开发行股票所募集资金到位之日起十五个工作日内</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7"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合计</w:t>
            </w:r>
          </w:p>
        </w:tc>
        <w:tc>
          <w:tcPr>
            <w:tcW w:w="1804"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c>
          <w:tcPr>
            <w:tcW w:w="1211"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sz w:val="24"/>
                <w:szCs w:val="24"/>
              </w:rPr>
            </w:pPr>
          </w:p>
        </w:tc>
      </w:tr>
    </w:tbl>
    <w:p>
      <w:pPr>
        <w:spacing w:line="560" w:lineRule="exact"/>
        <w:jc w:val="both"/>
        <w:rPr>
          <w:rFonts w:hint="default" w:eastAsia="宋体"/>
          <w:sz w:val="28"/>
          <w:szCs w:val="28"/>
          <w:u w:val="single"/>
          <w:lang w:val="en-US" w:eastAsia="zh-CN"/>
        </w:rPr>
      </w:pPr>
      <w:r>
        <w:rPr>
          <w:rFonts w:hint="eastAsia"/>
          <w:sz w:val="28"/>
          <w:szCs w:val="28"/>
          <w:lang w:val="en-US" w:eastAsia="zh-CN"/>
        </w:rPr>
        <w:t xml:space="preserve">    三、其他需说明事项：</w:t>
      </w:r>
      <w:r>
        <w:rPr>
          <w:rFonts w:hint="eastAsia"/>
          <w:sz w:val="28"/>
          <w:szCs w:val="28"/>
          <w:u w:val="single"/>
          <w:lang w:val="en-US" w:eastAsia="zh-CN"/>
        </w:rPr>
        <w:t xml:space="preserve">                                      </w:t>
      </w:r>
    </w:p>
    <w:p>
      <w:pPr>
        <w:spacing w:line="560" w:lineRule="exact"/>
        <w:jc w:val="right"/>
        <w:rPr>
          <w:rFonts w:hint="default" w:eastAsia="宋体"/>
          <w:sz w:val="28"/>
          <w:szCs w:val="28"/>
          <w:lang w:val="en-US" w:eastAsia="zh-CN"/>
        </w:rPr>
      </w:pPr>
      <w:r>
        <w:rPr>
          <w:rFonts w:hint="eastAsia"/>
          <w:sz w:val="28"/>
          <w:szCs w:val="28"/>
          <w:lang w:val="en-US" w:eastAsia="zh-CN"/>
        </w:rPr>
        <w:t>法定代表人或授权代表签字：</w:t>
      </w:r>
    </w:p>
    <w:p>
      <w:pPr>
        <w:spacing w:line="560" w:lineRule="exact"/>
        <w:jc w:val="right"/>
        <w:rPr>
          <w:rFonts w:hint="eastAsia"/>
          <w:sz w:val="28"/>
          <w:szCs w:val="28"/>
          <w:lang w:val="en-US" w:eastAsia="zh-CN"/>
        </w:rPr>
      </w:pPr>
      <w:r>
        <w:rPr>
          <w:rFonts w:hint="eastAsia"/>
          <w:sz w:val="28"/>
          <w:szCs w:val="28"/>
          <w:lang w:val="en-US" w:eastAsia="zh-CN"/>
        </w:rPr>
        <w:t>供应商（公章）：</w:t>
      </w:r>
    </w:p>
    <w:p>
      <w:pPr>
        <w:spacing w:line="560" w:lineRule="exact"/>
        <w:jc w:val="right"/>
        <w:rPr>
          <w:rFonts w:hint="eastAsia" w:ascii="黑体" w:hAnsi="黑体" w:eastAsia="黑体" w:cs="黑体"/>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r>
        <w:rPr>
          <w:rFonts w:hint="eastAsia" w:ascii="黑体" w:hAnsi="黑体" w:eastAsia="黑体" w:cs="黑体"/>
          <w:sz w:val="28"/>
          <w:szCs w:val="28"/>
        </w:rPr>
        <w:t>附件</w:t>
      </w:r>
      <w:r>
        <w:rPr>
          <w:rFonts w:ascii="黑体" w:hAnsi="黑体" w:eastAsia="黑体" w:cs="黑体"/>
          <w:sz w:val="28"/>
          <w:szCs w:val="28"/>
        </w:rPr>
        <w:t>2</w:t>
      </w:r>
      <w:r>
        <w:rPr>
          <w:rFonts w:hint="eastAsia" w:ascii="黑体" w:hAnsi="黑体" w:eastAsia="黑体" w:cs="黑体"/>
          <w:sz w:val="28"/>
          <w:szCs w:val="28"/>
        </w:rPr>
        <w:t>：</w:t>
      </w:r>
    </w:p>
    <w:p>
      <w:pPr>
        <w:spacing w:line="480" w:lineRule="exact"/>
        <w:jc w:val="center"/>
        <w:rPr>
          <w:rFonts w:ascii="仿宋_GB2312" w:hAnsi="仿宋_GB2312" w:eastAsia="仿宋_GB2312" w:cs="仿宋_GB2312"/>
          <w:sz w:val="28"/>
          <w:szCs w:val="28"/>
        </w:rPr>
      </w:pPr>
      <w:r>
        <w:rPr>
          <w:rFonts w:hint="eastAsia" w:ascii="宋体" w:hAnsi="宋体" w:cs="宋体"/>
          <w:b/>
          <w:bCs/>
          <w:sz w:val="36"/>
          <w:szCs w:val="36"/>
        </w:rPr>
        <w:t>磋商函</w:t>
      </w:r>
    </w:p>
    <w:p>
      <w:pPr>
        <w:spacing w:line="480" w:lineRule="exac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致：</w:t>
      </w:r>
      <w:r>
        <w:rPr>
          <w:rFonts w:hint="eastAsia" w:asciiTheme="minorEastAsia" w:hAnsiTheme="minorEastAsia" w:eastAsiaTheme="minorEastAsia" w:cstheme="minorEastAsia"/>
          <w:sz w:val="28"/>
          <w:szCs w:val="28"/>
          <w:u w:val="single"/>
        </w:rPr>
        <w:t xml:space="preserve">                             </w:t>
      </w:r>
    </w:p>
    <w:p>
      <w:pPr>
        <w:spacing w:line="480" w:lineRule="exac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供应商：</w:t>
      </w:r>
      <w:r>
        <w:rPr>
          <w:rFonts w:hint="eastAsia" w:asciiTheme="minorEastAsia" w:hAnsiTheme="minorEastAsia" w:eastAsiaTheme="minorEastAsia" w:cstheme="minorEastAsia"/>
          <w:sz w:val="28"/>
          <w:szCs w:val="28"/>
          <w:u w:val="single"/>
        </w:rPr>
        <w:t xml:space="preserve">                         </w:t>
      </w:r>
    </w:p>
    <w:p>
      <w:pPr>
        <w:spacing w:line="4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w:t>
      </w:r>
      <w:r>
        <w:rPr>
          <w:rFonts w:hint="eastAsia" w:asciiTheme="minorEastAsia" w:hAnsiTheme="minorEastAsia" w:eastAsiaTheme="minorEastAsia" w:cstheme="minorEastAsia"/>
          <w:sz w:val="28"/>
          <w:szCs w:val="28"/>
          <w:u w:val="single"/>
        </w:rPr>
        <w:t xml:space="preserve">                     </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我单位已详细阅读了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项目的竞争性磋商文件，自愿参加上述项目磋商，现就有关事项向采购人郑重承诺如下：</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1.遵循公平、公开、公正和诚实信用的原则参加本次磋商项目。</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2.服从磋商文件规定的时间安排，遵守磋商有关会议现场纪律，理解磋商文件全部资料。</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3.所申报的所有响应文件资料都是真实、准确、完整的。</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4.无资质挂靠或参与串标、围标及抬标情形，没有被各级行政主管部门做出停止市场行为的处罚。</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5.若我方</w:t>
      </w:r>
      <w:r>
        <w:rPr>
          <w:rFonts w:hint="eastAsia" w:asciiTheme="minorEastAsia" w:hAnsiTheme="minorEastAsia" w:eastAsiaTheme="minorEastAsia" w:cstheme="minorEastAsia"/>
          <w:sz w:val="28"/>
          <w:szCs w:val="28"/>
          <w:lang w:val="en-US" w:eastAsia="zh-CN"/>
        </w:rPr>
        <w:t>成交</w:t>
      </w:r>
      <w:r>
        <w:rPr>
          <w:rFonts w:hint="eastAsia" w:asciiTheme="minorEastAsia" w:hAnsiTheme="minorEastAsia" w:eastAsiaTheme="minorEastAsia" w:cstheme="minorEastAsia"/>
          <w:sz w:val="28"/>
          <w:szCs w:val="28"/>
        </w:rPr>
        <w:t>，将严格执行响应文件所承诺的报价、内容组织实施，密切配合采购人开展工作，服从采购人项目监管人员的监督管理。</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6.在我方服务工作过程中，严格执行国家有关法律法规，尊重并贯彻甲方意见，维护甲方利益，向甲方提供优质服务。</w:t>
      </w:r>
    </w:p>
    <w:p>
      <w:pPr>
        <w:spacing w:line="48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t>.我方不恶意压价或抬高投标报价，完全理解采购人不一定将合同授予最低报价的供应商的行为。</w:t>
      </w:r>
    </w:p>
    <w:p>
      <w:pPr>
        <w:spacing w:line="48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供应商在规定的响应有效期限内及合同有效期内，将接受磋商文件的约束并履行响应文件的承诺。若我方违反上述承诺，隐瞒、提供虚假资料或不按磋商文件组织实施被贵方发现或被他人举报查实，无条件接受贵方做出的取消投标资格、中标资格、不良行为记录的处罚。对此造成的损失，任何法律和经济责任完全由我方负责。</w:t>
      </w:r>
    </w:p>
    <w:p>
      <w:pPr>
        <w:spacing w:line="480" w:lineRule="exact"/>
        <w:rPr>
          <w:rFonts w:asciiTheme="minorEastAsia" w:hAnsiTheme="minorEastAsia" w:eastAsiaTheme="minorEastAsia" w:cstheme="minorEastAsia"/>
          <w:sz w:val="28"/>
          <w:szCs w:val="28"/>
        </w:rPr>
      </w:pPr>
    </w:p>
    <w:p>
      <w:pPr>
        <w:spacing w:line="4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供应商（公章）：</w:t>
      </w:r>
    </w:p>
    <w:p>
      <w:pPr>
        <w:spacing w:line="48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供应商法定代表人签字：                           </w:t>
      </w:r>
    </w:p>
    <w:p>
      <w:pPr>
        <w:spacing w:line="480" w:lineRule="exact"/>
        <w:ind w:firstLine="6160" w:firstLineChars="2200"/>
      </w:pPr>
      <w:r>
        <w:rPr>
          <w:rFonts w:hint="eastAsia" w:asciiTheme="minorEastAsia" w:hAnsiTheme="minorEastAsia" w:eastAsiaTheme="minorEastAsia" w:cstheme="minorEastAsia"/>
          <w:sz w:val="28"/>
          <w:szCs w:val="28"/>
        </w:rPr>
        <w:t>年    月   日</w:t>
      </w:r>
    </w:p>
    <w:p>
      <w:pPr>
        <w:rPr>
          <w:rFonts w:ascii="方正小标宋简体" w:hAnsi="方正小标宋简体" w:eastAsia="方正小标宋简体" w:cs="方正小标宋简体"/>
          <w:szCs w:val="21"/>
        </w:rPr>
      </w:pPr>
      <w:r>
        <w:rPr>
          <w:rFonts w:hint="eastAsia" w:ascii="黑体" w:hAnsi="黑体" w:eastAsia="黑体" w:cs="黑体"/>
          <w:sz w:val="28"/>
          <w:szCs w:val="28"/>
        </w:rPr>
        <w:t>附件</w:t>
      </w:r>
      <w:r>
        <w:rPr>
          <w:rFonts w:ascii="黑体" w:hAnsi="黑体" w:eastAsia="黑体" w:cs="黑体"/>
          <w:sz w:val="28"/>
          <w:szCs w:val="28"/>
        </w:rPr>
        <w:t>3</w:t>
      </w:r>
      <w:r>
        <w:rPr>
          <w:rFonts w:hint="eastAsia" w:ascii="黑体" w:hAnsi="黑体" w:eastAsia="黑体" w:cs="黑体"/>
          <w:sz w:val="28"/>
          <w:szCs w:val="28"/>
        </w:rPr>
        <w:t>：</w:t>
      </w:r>
    </w:p>
    <w:p>
      <w:pPr>
        <w:spacing w:line="360" w:lineRule="auto"/>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6"/>
          <w:szCs w:val="36"/>
        </w:rPr>
        <w:t>法定代表人授权书</w:t>
      </w:r>
    </w:p>
    <w:p>
      <w:pPr>
        <w:spacing w:line="640" w:lineRule="exact"/>
        <w:rPr>
          <w:sz w:val="28"/>
          <w:szCs w:val="28"/>
        </w:rPr>
      </w:pPr>
      <w:r>
        <w:rPr>
          <w:rFonts w:hint="eastAsia"/>
          <w:sz w:val="28"/>
          <w:szCs w:val="28"/>
        </w:rPr>
        <w:t>致：__________________________</w:t>
      </w:r>
    </w:p>
    <w:p>
      <w:pPr>
        <w:pStyle w:val="4"/>
        <w:snapToGrid w:val="0"/>
        <w:spacing w:line="640" w:lineRule="exact"/>
        <w:ind w:firstLine="560" w:firstLineChars="200"/>
        <w:rPr>
          <w:rFonts w:hAnsi="宋体"/>
          <w:sz w:val="28"/>
          <w:szCs w:val="28"/>
        </w:rPr>
      </w:pPr>
      <w:r>
        <w:rPr>
          <w:rFonts w:hint="eastAsia" w:hAnsi="宋体"/>
          <w:sz w:val="28"/>
          <w:szCs w:val="28"/>
          <w:u w:val="single"/>
        </w:rPr>
        <w:t>（供应商全称）</w:t>
      </w:r>
      <w:r>
        <w:rPr>
          <w:rFonts w:hint="eastAsia" w:hAnsi="宋体"/>
          <w:sz w:val="28"/>
          <w:szCs w:val="28"/>
        </w:rPr>
        <w:t>法定代表人</w:t>
      </w:r>
      <w:r>
        <w:rPr>
          <w:rFonts w:hint="eastAsia" w:hAnsi="宋体"/>
          <w:sz w:val="28"/>
          <w:szCs w:val="28"/>
          <w:u w:val="single"/>
        </w:rPr>
        <w:t xml:space="preserve">        </w:t>
      </w:r>
      <w:r>
        <w:rPr>
          <w:rFonts w:hint="eastAsia" w:hAnsi="宋体"/>
          <w:sz w:val="28"/>
          <w:szCs w:val="28"/>
        </w:rPr>
        <w:t xml:space="preserve"> 授权</w:t>
      </w:r>
      <w:r>
        <w:rPr>
          <w:rFonts w:hint="eastAsia" w:hAnsi="宋体"/>
          <w:sz w:val="28"/>
          <w:szCs w:val="28"/>
          <w:u w:val="single"/>
        </w:rPr>
        <w:t xml:space="preserve">  （供应商代表姓名）</w:t>
      </w:r>
      <w:r>
        <w:rPr>
          <w:rFonts w:hint="eastAsia" w:hAnsi="宋体"/>
          <w:sz w:val="28"/>
          <w:szCs w:val="28"/>
        </w:rPr>
        <w:t>为供应商代表，代表本公司参加贵司组织的</w:t>
      </w:r>
      <w:r>
        <w:rPr>
          <w:rFonts w:hint="eastAsia" w:hAnsi="宋体"/>
          <w:sz w:val="28"/>
          <w:szCs w:val="28"/>
          <w:u w:val="single"/>
        </w:rPr>
        <w:t xml:space="preserve">            </w:t>
      </w:r>
      <w:r>
        <w:rPr>
          <w:rFonts w:hint="eastAsia" w:hAnsi="宋体"/>
          <w:sz w:val="28"/>
          <w:szCs w:val="28"/>
        </w:rPr>
        <w:t>项目竞争性磋商活动，全权代表本公司处理磋商过程的一切事宜，包括但不限于：投标、参与磋商、谈判、签约等。供应商代表在磋商过程中所签署的一切文件和处理与之有关的一切事务，本公司均予以认可并对此承担责任。供应商代表无转委托权。特此授权。</w:t>
      </w:r>
    </w:p>
    <w:p>
      <w:pPr>
        <w:pStyle w:val="4"/>
        <w:snapToGrid w:val="0"/>
        <w:spacing w:line="640" w:lineRule="exact"/>
        <w:ind w:firstLine="560" w:firstLineChars="200"/>
        <w:rPr>
          <w:sz w:val="28"/>
          <w:szCs w:val="28"/>
        </w:rPr>
      </w:pPr>
      <w:r>
        <w:rPr>
          <w:rFonts w:hint="eastAsia" w:hAnsi="宋体"/>
          <w:sz w:val="28"/>
          <w:szCs w:val="28"/>
        </w:rPr>
        <w:t>本授权书自出具之日起生效。</w:t>
      </w:r>
    </w:p>
    <w:p>
      <w:pPr>
        <w:spacing w:line="380" w:lineRule="exact"/>
        <w:rPr>
          <w:sz w:val="28"/>
          <w:szCs w:val="28"/>
        </w:rPr>
      </w:pPr>
    </w:p>
    <w:p>
      <w:pPr>
        <w:rPr>
          <w:sz w:val="28"/>
          <w:szCs w:val="28"/>
        </w:rPr>
      </w:pPr>
      <w:r>
        <w:rPr>
          <w:rFonts w:hint="eastAsia"/>
          <w:sz w:val="28"/>
          <w:szCs w:val="28"/>
        </w:rPr>
        <w:t>供应商代表：</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性别：</w:t>
      </w:r>
      <w:r>
        <w:rPr>
          <w:sz w:val="28"/>
          <w:szCs w:val="28"/>
          <w:u w:val="single"/>
        </w:rPr>
        <w:t xml:space="preserve">     </w:t>
      </w:r>
      <w:r>
        <w:rPr>
          <w:rFonts w:hint="eastAsia"/>
          <w:sz w:val="28"/>
          <w:szCs w:val="28"/>
          <w:u w:val="single"/>
        </w:rPr>
        <w:t xml:space="preserve"> </w:t>
      </w:r>
      <w:r>
        <w:rPr>
          <w:rFonts w:hint="eastAsia"/>
          <w:sz w:val="28"/>
          <w:szCs w:val="28"/>
        </w:rPr>
        <w:t xml:space="preserve"> 身份证号：</w:t>
      </w:r>
      <w:r>
        <w:rPr>
          <w:sz w:val="28"/>
          <w:szCs w:val="28"/>
          <w:u w:val="single"/>
        </w:rPr>
        <w:t xml:space="preserve">   </w:t>
      </w:r>
      <w:r>
        <w:rPr>
          <w:rFonts w:hint="eastAsia"/>
          <w:sz w:val="28"/>
          <w:szCs w:val="28"/>
          <w:u w:val="single"/>
        </w:rPr>
        <w:t xml:space="preserve">               </w:t>
      </w:r>
    </w:p>
    <w:p>
      <w:pPr>
        <w:rPr>
          <w:sz w:val="28"/>
          <w:szCs w:val="28"/>
        </w:rPr>
      </w:pPr>
      <w:r>
        <w:rPr>
          <w:rFonts w:hint="eastAsia"/>
          <w:sz w:val="28"/>
          <w:szCs w:val="28"/>
        </w:rPr>
        <w:t>单位：</w:t>
      </w:r>
      <w:r>
        <w:rPr>
          <w:sz w:val="28"/>
          <w:szCs w:val="28"/>
          <w:u w:val="single"/>
        </w:rPr>
        <w:t xml:space="preserve">                  </w:t>
      </w:r>
      <w:r>
        <w:rPr>
          <w:sz w:val="28"/>
          <w:szCs w:val="28"/>
        </w:rPr>
        <w:t xml:space="preserve">  </w:t>
      </w:r>
      <w:r>
        <w:rPr>
          <w:rFonts w:hint="eastAsia"/>
          <w:sz w:val="28"/>
          <w:szCs w:val="28"/>
        </w:rPr>
        <w:t>部门：</w:t>
      </w:r>
      <w:r>
        <w:rPr>
          <w:sz w:val="28"/>
          <w:szCs w:val="28"/>
          <w:u w:val="single"/>
        </w:rPr>
        <w:t xml:space="preserve">       </w:t>
      </w:r>
      <w:r>
        <w:rPr>
          <w:rFonts w:hint="eastAsia"/>
          <w:sz w:val="28"/>
          <w:szCs w:val="28"/>
          <w:u w:val="single"/>
        </w:rPr>
        <w:t xml:space="preserve">  </w:t>
      </w:r>
      <w:r>
        <w:rPr>
          <w:sz w:val="28"/>
          <w:szCs w:val="28"/>
        </w:rPr>
        <w:t xml:space="preserve">  </w:t>
      </w:r>
      <w:r>
        <w:rPr>
          <w:rFonts w:hint="eastAsia"/>
          <w:sz w:val="28"/>
          <w:szCs w:val="28"/>
        </w:rPr>
        <w:t>职务：</w:t>
      </w:r>
      <w:r>
        <w:rPr>
          <w:sz w:val="28"/>
          <w:szCs w:val="28"/>
          <w:u w:val="single"/>
        </w:rPr>
        <w:t xml:space="preserve">   </w:t>
      </w:r>
      <w:r>
        <w:rPr>
          <w:rFonts w:hint="eastAsia"/>
          <w:sz w:val="28"/>
          <w:szCs w:val="28"/>
          <w:u w:val="single"/>
        </w:rPr>
        <w:t xml:space="preserve">         </w:t>
      </w:r>
      <w:r>
        <w:rPr>
          <w:sz w:val="28"/>
          <w:szCs w:val="28"/>
          <w:u w:val="single"/>
        </w:rPr>
        <w:t xml:space="preserve">      </w:t>
      </w:r>
    </w:p>
    <w:p>
      <w:pPr>
        <w:rPr>
          <w:sz w:val="28"/>
          <w:szCs w:val="28"/>
        </w:rPr>
      </w:pPr>
      <w:r>
        <w:rPr>
          <w:rFonts w:hint="eastAsia"/>
          <w:sz w:val="28"/>
          <w:szCs w:val="28"/>
        </w:rPr>
        <w:t>详细通讯地址：</w:t>
      </w:r>
      <w:r>
        <w:rPr>
          <w:rFonts w:hint="eastAsia"/>
          <w:sz w:val="28"/>
          <w:szCs w:val="28"/>
          <w:u w:val="single"/>
        </w:rPr>
        <w:t xml:space="preserve">         　　　　　          </w:t>
      </w:r>
      <w:r>
        <w:rPr>
          <w:rFonts w:hint="eastAsia"/>
          <w:sz w:val="28"/>
          <w:szCs w:val="28"/>
        </w:rPr>
        <w:t>电话：</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　</w:t>
      </w:r>
    </w:p>
    <w:p>
      <w:pPr>
        <w:spacing w:line="380" w:lineRule="exact"/>
        <w:ind w:firstLine="4216" w:firstLineChars="1500"/>
        <w:rPr>
          <w:b/>
          <w:sz w:val="28"/>
          <w:szCs w:val="28"/>
        </w:rPr>
      </w:pPr>
    </w:p>
    <w:p>
      <w:pPr>
        <w:spacing w:line="380" w:lineRule="exact"/>
        <w:ind w:firstLine="3654" w:firstLineChars="1300"/>
        <w:rPr>
          <w:sz w:val="28"/>
          <w:szCs w:val="28"/>
        </w:rPr>
      </w:pPr>
      <w:r>
        <w:rPr>
          <w:rFonts w:hint="eastAsia"/>
          <w:b/>
          <w:sz w:val="28"/>
          <w:szCs w:val="28"/>
        </w:rPr>
        <w:t>授权方</w:t>
      </w:r>
    </w:p>
    <w:p>
      <w:pPr>
        <w:spacing w:line="640" w:lineRule="exact"/>
        <w:ind w:firstLine="4200" w:firstLineChars="1500"/>
        <w:rPr>
          <w:sz w:val="28"/>
          <w:szCs w:val="28"/>
        </w:rPr>
      </w:pPr>
      <w:r>
        <w:rPr>
          <w:rFonts w:hint="eastAsia"/>
          <w:sz w:val="28"/>
          <w:szCs w:val="28"/>
        </w:rPr>
        <w:t>供应商：</w:t>
      </w:r>
      <w:r>
        <w:rPr>
          <w:rFonts w:hint="eastAsia"/>
          <w:sz w:val="28"/>
          <w:szCs w:val="28"/>
          <w:u w:val="single"/>
        </w:rPr>
        <w:t xml:space="preserve">       （盖章）            </w:t>
      </w:r>
    </w:p>
    <w:p>
      <w:pPr>
        <w:spacing w:line="640" w:lineRule="exact"/>
        <w:ind w:firstLine="4200" w:firstLineChars="1500"/>
        <w:rPr>
          <w:sz w:val="28"/>
          <w:szCs w:val="28"/>
        </w:rPr>
      </w:pPr>
      <w:r>
        <w:rPr>
          <w:rFonts w:hint="eastAsia"/>
          <w:sz w:val="28"/>
          <w:szCs w:val="28"/>
        </w:rPr>
        <w:t>法定代表人：</w:t>
      </w:r>
      <w:r>
        <w:rPr>
          <w:sz w:val="28"/>
          <w:szCs w:val="28"/>
          <w:u w:val="single"/>
        </w:rPr>
        <w:t xml:space="preserve">   </w:t>
      </w:r>
      <w:r>
        <w:rPr>
          <w:rFonts w:hint="eastAsia"/>
          <w:sz w:val="28"/>
          <w:szCs w:val="28"/>
          <w:u w:val="single"/>
        </w:rPr>
        <w:t xml:space="preserve">（签字）         </w:t>
      </w:r>
      <w:r>
        <w:rPr>
          <w:sz w:val="28"/>
          <w:szCs w:val="28"/>
          <w:u w:val="single"/>
        </w:rPr>
        <w:t xml:space="preserve">  </w:t>
      </w:r>
    </w:p>
    <w:p>
      <w:pPr>
        <w:spacing w:line="640" w:lineRule="exact"/>
        <w:ind w:firstLine="4200" w:firstLineChars="1500"/>
        <w:rPr>
          <w:sz w:val="28"/>
          <w:szCs w:val="28"/>
        </w:rPr>
      </w:pPr>
      <w:r>
        <w:rPr>
          <w:rFonts w:hint="eastAsia"/>
          <w:sz w:val="28"/>
          <w:szCs w:val="28"/>
        </w:rPr>
        <w:t>日     期：</w:t>
      </w:r>
      <w:r>
        <w:rPr>
          <w:rFonts w:hint="eastAsia"/>
          <w:sz w:val="28"/>
          <w:szCs w:val="28"/>
          <w:u w:val="single"/>
        </w:rPr>
        <w:t xml:space="preserve">                       </w:t>
      </w:r>
    </w:p>
    <w:p>
      <w:pPr>
        <w:spacing w:line="560" w:lineRule="exact"/>
        <w:rPr>
          <w:sz w:val="28"/>
          <w:szCs w:val="28"/>
        </w:rPr>
      </w:pPr>
    </w:p>
    <w:p>
      <w:pPr>
        <w:spacing w:line="380" w:lineRule="exact"/>
        <w:ind w:firstLine="3654" w:firstLineChars="1300"/>
        <w:rPr>
          <w:sz w:val="28"/>
          <w:szCs w:val="28"/>
        </w:rPr>
      </w:pPr>
      <w:r>
        <w:rPr>
          <w:rFonts w:hint="eastAsia"/>
          <w:b/>
          <w:sz w:val="28"/>
          <w:szCs w:val="28"/>
        </w:rPr>
        <w:t>接受授权方</w:t>
      </w:r>
    </w:p>
    <w:p>
      <w:pPr>
        <w:spacing w:line="640" w:lineRule="exact"/>
        <w:ind w:firstLine="4200" w:firstLineChars="1500"/>
        <w:rPr>
          <w:sz w:val="28"/>
          <w:szCs w:val="28"/>
        </w:rPr>
      </w:pPr>
      <w:r>
        <w:rPr>
          <w:rFonts w:hint="eastAsia"/>
          <w:sz w:val="28"/>
          <w:szCs w:val="28"/>
        </w:rPr>
        <w:t>供应商代表：</w:t>
      </w:r>
      <w:r>
        <w:rPr>
          <w:rFonts w:hint="eastAsia"/>
          <w:sz w:val="28"/>
          <w:szCs w:val="28"/>
          <w:u w:val="single"/>
        </w:rPr>
        <w:t xml:space="preserve">   （签字）            </w:t>
      </w:r>
    </w:p>
    <w:p>
      <w:pPr>
        <w:spacing w:line="640" w:lineRule="exact"/>
        <w:ind w:firstLine="4200" w:firstLineChars="1500"/>
      </w:pPr>
      <w:r>
        <w:rPr>
          <w:rFonts w:hint="eastAsia"/>
          <w:sz w:val="28"/>
          <w:szCs w:val="28"/>
        </w:rPr>
        <w:t>日     期：</w:t>
      </w:r>
      <w:r>
        <w:rPr>
          <w:rFonts w:hint="eastAsia"/>
          <w:sz w:val="28"/>
          <w:szCs w:val="28"/>
          <w:u w:val="single"/>
        </w:rPr>
        <w:t xml:space="preserve">                       </w:t>
      </w:r>
    </w:p>
    <w:p>
      <w:pPr>
        <w:rPr>
          <w:rFonts w:hint="eastAsia"/>
        </w:rPr>
      </w:pPr>
    </w:p>
    <w:sectPr>
      <w:footerReference r:id="rId6" w:type="default"/>
      <w:pgSz w:w="11906" w:h="16838"/>
      <w:pgMar w:top="1474" w:right="1474" w:bottom="147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C7763"/>
    <w:rsid w:val="00031494"/>
    <w:rsid w:val="00055207"/>
    <w:rsid w:val="000B2D61"/>
    <w:rsid w:val="000C1AFB"/>
    <w:rsid w:val="000F5429"/>
    <w:rsid w:val="001276F3"/>
    <w:rsid w:val="0017122F"/>
    <w:rsid w:val="00171F97"/>
    <w:rsid w:val="0017299D"/>
    <w:rsid w:val="001F3BAB"/>
    <w:rsid w:val="002423C9"/>
    <w:rsid w:val="002C696A"/>
    <w:rsid w:val="002F2F73"/>
    <w:rsid w:val="003435D4"/>
    <w:rsid w:val="00367197"/>
    <w:rsid w:val="00382219"/>
    <w:rsid w:val="003B0142"/>
    <w:rsid w:val="003B2F46"/>
    <w:rsid w:val="003C18EA"/>
    <w:rsid w:val="003C4C4E"/>
    <w:rsid w:val="003D6233"/>
    <w:rsid w:val="004163F4"/>
    <w:rsid w:val="00423129"/>
    <w:rsid w:val="004610E7"/>
    <w:rsid w:val="004E34EA"/>
    <w:rsid w:val="00576FD3"/>
    <w:rsid w:val="00582510"/>
    <w:rsid w:val="00662040"/>
    <w:rsid w:val="00666A3A"/>
    <w:rsid w:val="00677813"/>
    <w:rsid w:val="006A081A"/>
    <w:rsid w:val="00712EE2"/>
    <w:rsid w:val="007A12E8"/>
    <w:rsid w:val="007A493E"/>
    <w:rsid w:val="007B4638"/>
    <w:rsid w:val="008616DA"/>
    <w:rsid w:val="008C18C9"/>
    <w:rsid w:val="00920FC0"/>
    <w:rsid w:val="00927EEB"/>
    <w:rsid w:val="0097747A"/>
    <w:rsid w:val="0099065C"/>
    <w:rsid w:val="00997B72"/>
    <w:rsid w:val="009A154A"/>
    <w:rsid w:val="009D2C50"/>
    <w:rsid w:val="00C3336C"/>
    <w:rsid w:val="00CA77A5"/>
    <w:rsid w:val="00D25548"/>
    <w:rsid w:val="00D94058"/>
    <w:rsid w:val="00DC04A4"/>
    <w:rsid w:val="00DE70EF"/>
    <w:rsid w:val="00E4272C"/>
    <w:rsid w:val="00E919B4"/>
    <w:rsid w:val="00EF4FE9"/>
    <w:rsid w:val="00F203E1"/>
    <w:rsid w:val="00F45E19"/>
    <w:rsid w:val="00FC3E36"/>
    <w:rsid w:val="01261BF1"/>
    <w:rsid w:val="024A4F5A"/>
    <w:rsid w:val="04445332"/>
    <w:rsid w:val="09203FC7"/>
    <w:rsid w:val="0AB850E6"/>
    <w:rsid w:val="0C4610EE"/>
    <w:rsid w:val="0FEC07DE"/>
    <w:rsid w:val="10DC3A62"/>
    <w:rsid w:val="1572155C"/>
    <w:rsid w:val="165B4BCC"/>
    <w:rsid w:val="16EB4A60"/>
    <w:rsid w:val="182B1188"/>
    <w:rsid w:val="18C11BD4"/>
    <w:rsid w:val="1A552892"/>
    <w:rsid w:val="1A577D20"/>
    <w:rsid w:val="1B92713A"/>
    <w:rsid w:val="1EA33240"/>
    <w:rsid w:val="1F2964AD"/>
    <w:rsid w:val="20E64967"/>
    <w:rsid w:val="226B002A"/>
    <w:rsid w:val="23E57D42"/>
    <w:rsid w:val="273F0CA0"/>
    <w:rsid w:val="288D75AF"/>
    <w:rsid w:val="2B4D1DD5"/>
    <w:rsid w:val="2F314006"/>
    <w:rsid w:val="303C6CD3"/>
    <w:rsid w:val="32540265"/>
    <w:rsid w:val="367C69B4"/>
    <w:rsid w:val="37556E8B"/>
    <w:rsid w:val="395D6278"/>
    <w:rsid w:val="3A4E5ED8"/>
    <w:rsid w:val="3E3549A2"/>
    <w:rsid w:val="3F2A5B69"/>
    <w:rsid w:val="44032771"/>
    <w:rsid w:val="45964364"/>
    <w:rsid w:val="45E246FA"/>
    <w:rsid w:val="4BE01578"/>
    <w:rsid w:val="4D256EBD"/>
    <w:rsid w:val="4E445A06"/>
    <w:rsid w:val="52DC73AD"/>
    <w:rsid w:val="530B412B"/>
    <w:rsid w:val="553D319F"/>
    <w:rsid w:val="557C1372"/>
    <w:rsid w:val="58207FB4"/>
    <w:rsid w:val="595326F7"/>
    <w:rsid w:val="59953467"/>
    <w:rsid w:val="5ABC7763"/>
    <w:rsid w:val="5DEF389E"/>
    <w:rsid w:val="60D556FE"/>
    <w:rsid w:val="615410ED"/>
    <w:rsid w:val="61E0282F"/>
    <w:rsid w:val="6D240B46"/>
    <w:rsid w:val="6D727053"/>
    <w:rsid w:val="6EF8215C"/>
    <w:rsid w:val="6FC566E5"/>
    <w:rsid w:val="70186A8F"/>
    <w:rsid w:val="70AB46C8"/>
    <w:rsid w:val="73EA6AFC"/>
    <w:rsid w:val="756545FF"/>
    <w:rsid w:val="76532D2F"/>
    <w:rsid w:val="7AEF6EEE"/>
    <w:rsid w:val="7C4D1C42"/>
    <w:rsid w:val="7CDD441B"/>
    <w:rsid w:val="7D311D5A"/>
    <w:rsid w:val="7DA10CAD"/>
    <w:rsid w:val="7EF45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hAnsi="Courier New"/>
      <w:szCs w:val="20"/>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39"/>
    <w:pPr>
      <w:spacing w:before="120" w:after="120"/>
      <w:jc w:val="left"/>
    </w:pPr>
    <w:rPr>
      <w:b/>
      <w:bCs/>
      <w:caps/>
      <w:sz w:val="20"/>
      <w:szCs w:val="20"/>
    </w:rPr>
  </w:style>
  <w:style w:type="paragraph" w:styleId="8">
    <w:name w:val="toc 2"/>
    <w:basedOn w:val="1"/>
    <w:next w:val="1"/>
    <w:qFormat/>
    <w:uiPriority w:val="39"/>
    <w:pPr>
      <w:ind w:left="210"/>
      <w:jc w:val="left"/>
    </w:pPr>
    <w:rPr>
      <w:smallCaps/>
      <w:sz w:val="20"/>
      <w:szCs w:val="20"/>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0"/>
  </w:style>
  <w:style w:type="paragraph" w:customStyle="1" w:styleId="14">
    <w:name w:val="目录"/>
    <w:basedOn w:val="1"/>
    <w:qFormat/>
    <w:uiPriority w:val="0"/>
    <w:rPr>
      <w:rFonts w:ascii="楷体_GB2312" w:eastAsia="楷体_GB2312"/>
      <w:b/>
      <w:bCs/>
      <w:sz w:val="36"/>
      <w:szCs w:val="36"/>
    </w:rPr>
  </w:style>
  <w:style w:type="paragraph" w:styleId="15">
    <w:name w:val="List Paragraph"/>
    <w:basedOn w:val="1"/>
    <w:qFormat/>
    <w:uiPriority w:val="0"/>
    <w:pPr>
      <w:ind w:firstLine="420" w:firstLineChars="200"/>
    </w:pPr>
  </w:style>
  <w:style w:type="character" w:customStyle="1" w:styleId="16">
    <w:name w:val="标题 1 字符"/>
    <w:basedOn w:val="12"/>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1ABC1-957A-432B-8DA5-A39EB0A31CB3}">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8027</Words>
  <Characters>1962</Characters>
  <Lines>16</Lines>
  <Paragraphs>19</Paragraphs>
  <TotalTime>7</TotalTime>
  <ScaleCrop>false</ScaleCrop>
  <LinksUpToDate>false</LinksUpToDate>
  <CharactersWithSpaces>9970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2021-06-24T03:49:00Z</dcterms:created>
  <dc:creator>尹路杨</dc:creator>
  <cp:lastModifiedBy>尹路杨</cp:lastModifiedBy>
  <dcterms:modified xsi:type="dcterms:W3CDTF">2021-07-21T06:59:31Z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D1FB3D203F0F4A6CB1E8D7AABF9A82CE</vt:lpwstr>
  </property>
</Properties>
</file>