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480" w:lineRule="auto"/>
        <w:ind w:left="-142" w:right="-422" w:rightChars="-201" w:firstLine="564" w:firstLineChars="156"/>
        <w:jc w:val="center"/>
        <w:rPr>
          <w:rFonts w:hint="default" w:ascii="楷体" w:hAnsi="楷体" w:eastAsia="楷体" w:cs="楷体"/>
          <w:b/>
          <w:bCs/>
          <w:sz w:val="36"/>
          <w:szCs w:val="36"/>
          <w:lang w:val="en-US" w:eastAsia="zh-CN"/>
        </w:rPr>
      </w:pPr>
      <w:bookmarkStart w:id="0" w:name="_GoBack"/>
      <w:bookmarkEnd w:id="0"/>
      <w:r>
        <w:rPr>
          <w:rFonts w:hint="eastAsia" w:ascii="楷体" w:hAnsi="楷体" w:eastAsia="楷体" w:cs="楷体"/>
          <w:b/>
          <w:bCs/>
          <w:sz w:val="36"/>
          <w:szCs w:val="36"/>
          <w:lang w:val="en-US" w:eastAsia="zh-CN"/>
        </w:rPr>
        <w:t>变更公示附件</w:t>
      </w:r>
    </w:p>
    <w:p>
      <w:pPr>
        <w:tabs>
          <w:tab w:val="left" w:pos="-142"/>
        </w:tabs>
        <w:spacing w:line="480" w:lineRule="auto"/>
        <w:ind w:left="-142" w:right="-422" w:rightChars="-201" w:firstLine="561" w:firstLineChars="156"/>
        <w:jc w:val="left"/>
        <w:rPr>
          <w:rFonts w:hint="eastAsia" w:ascii="楷体" w:hAnsi="楷体" w:eastAsia="楷体" w:cs="楷体"/>
          <w:sz w:val="36"/>
          <w:szCs w:val="36"/>
          <w:lang w:val="en-US" w:eastAsia="zh-CN"/>
        </w:rPr>
      </w:pPr>
      <w:r>
        <w:rPr>
          <w:rFonts w:hint="eastAsia" w:ascii="楷体" w:hAnsi="楷体" w:eastAsia="楷体" w:cs="楷体"/>
          <w:sz w:val="36"/>
          <w:szCs w:val="36"/>
        </w:rPr>
        <w:t>建设部综合资质设备采购</w:t>
      </w:r>
      <w:r>
        <w:rPr>
          <w:rFonts w:hint="eastAsia" w:ascii="楷体" w:hAnsi="楷体" w:eastAsia="楷体" w:cs="楷体"/>
          <w:sz w:val="36"/>
          <w:szCs w:val="36"/>
          <w:lang w:val="en-US" w:eastAsia="zh-CN"/>
        </w:rPr>
        <w:t>项目部分设备参数及金额做如下变更</w:t>
      </w:r>
    </w:p>
    <w:tbl>
      <w:tblPr>
        <w:tblStyle w:val="2"/>
        <w:tblW w:w="14555" w:type="dxa"/>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3"/>
        <w:gridCol w:w="1002"/>
        <w:gridCol w:w="1161"/>
        <w:gridCol w:w="1036"/>
        <w:gridCol w:w="1098"/>
        <w:gridCol w:w="5652"/>
        <w:gridCol w:w="881"/>
        <w:gridCol w:w="816"/>
        <w:gridCol w:w="1041"/>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blHeader/>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设备序号</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设备名称</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厂家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设备型号</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设备参数</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用途</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台数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单价</w:t>
            </w:r>
          </w:p>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（万元）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总价</w:t>
            </w:r>
          </w:p>
          <w:p>
            <w:pPr>
              <w:keepNext w:val="0"/>
              <w:keepLines w:val="0"/>
              <w:widowControl/>
              <w:suppressLineNumbers w:val="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823" w:type="dxa"/>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27</w:t>
            </w:r>
          </w:p>
        </w:tc>
        <w:tc>
          <w:tcPr>
            <w:tcW w:w="100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甲醛测定仪</w:t>
            </w:r>
          </w:p>
        </w:tc>
        <w:tc>
          <w:tcPr>
            <w:tcW w:w="10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美国</w:t>
            </w:r>
          </w:p>
        </w:tc>
        <w:tc>
          <w:tcPr>
            <w:tcW w:w="10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4160-19.9</w:t>
            </w:r>
          </w:p>
        </w:tc>
        <w:tc>
          <w:tcPr>
            <w:tcW w:w="56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检测方法：泵吸式，1L/min</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显示方式：三位数字式大屏幕数码显示</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检测范围：0.00-19.99PPM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显示单位：PPM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分辨率：0.01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测量精度：0.01PPM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最低检测：0.01PPM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响应性：＜10S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零点漂移：±1%F.S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电源：DC8.4V1800mA大容量锂离子可充电电池</w:t>
            </w:r>
          </w:p>
        </w:tc>
        <w:tc>
          <w:tcPr>
            <w:tcW w:w="8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空气中甲醛含量检测</w:t>
            </w:r>
          </w:p>
        </w:tc>
        <w:tc>
          <w:tcPr>
            <w:tcW w:w="8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3.5</w:t>
            </w:r>
          </w:p>
        </w:tc>
        <w:tc>
          <w:tcPr>
            <w:tcW w:w="10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0" w:hRule="atLeast"/>
        </w:trPr>
        <w:tc>
          <w:tcPr>
            <w:tcW w:w="823" w:type="dxa"/>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甲醛测定仪</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英国PPM公司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HTV</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18"/>
                <w:szCs w:val="18"/>
                <w:u w:val="none"/>
                <w:lang w:val="en-US" w:eastAsia="zh-CN" w:bidi="ar"/>
              </w:rPr>
              <w:t xml:space="preserve">采样方法 泵吸式 </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测量间隔 测量频率1～3分钟(距离前一次采样)</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反应时间 在高精度模式：60秒</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在低精度模式：8秒</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 xml:space="preserve">检测范围 基本量程：0.00~10.00ppm ﹝或0~12.3mg/m3﹞ </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另选量程：0.00~80.0ppm ﹝或0~98.3mg/m3﹞</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分辨率 0.01 ppm</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精度 2%</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温湿度模式 量程：-40～+128 ℃, 0～100 %RH</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精度：±0.4 ℃, ±3 %RH</w:t>
            </w:r>
            <w:r>
              <w:rPr>
                <w:rFonts w:hint="eastAsia" w:ascii="楷体" w:hAnsi="楷体" w:eastAsia="楷体" w:cs="楷体"/>
                <w:i w:val="0"/>
                <w:iCs w:val="0"/>
                <w:color w:val="000000"/>
                <w:kern w:val="0"/>
                <w:sz w:val="18"/>
                <w:szCs w:val="18"/>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电源 9V电池供电</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 xml:space="preserve">尺寸 外型尺寸：150×80×34mm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18"/>
                <w:szCs w:val="18"/>
                <w:u w:val="none"/>
                <w:lang w:val="en-US" w:eastAsia="zh-CN" w:bidi="ar"/>
              </w:rPr>
              <w:t>外箱尺寸：266×230×50mm</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空气中甲醛含量检测</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1.8</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823"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16</w:t>
            </w:r>
          </w:p>
        </w:tc>
        <w:tc>
          <w:tcPr>
            <w:tcW w:w="10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紫外/可见/近红外分光光度计</w:t>
            </w:r>
          </w:p>
        </w:tc>
        <w:tc>
          <w:tcPr>
            <w:tcW w:w="10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PE  珀金埃尔默企业管理（上海）有限公司</w:t>
            </w:r>
          </w:p>
        </w:tc>
        <w:tc>
          <w:tcPr>
            <w:tcW w:w="10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Lambd750</w:t>
            </w:r>
          </w:p>
        </w:tc>
        <w:tc>
          <w:tcPr>
            <w:tcW w:w="56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 波长范围：190-3300 nm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 带宽：0.17 nm-5.00 nm，以 0.01 nm的间隔连续可调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0.2nm-20nm，以0.04nm间隔可调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 杂散光 ：≤0.0001%T, 在 220, 340, 和370 nm 按ASTM E-387法测量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 波长精度：±0.15 nm UV/Vis ， ±0.5 nm NIR</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 波长重复性：≤0.06nm UV/Vis ，≤0.1nm NIR</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1.6 光度计精度：± 0.003 A (NIST 930D Filters)；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0.0006 A（Double Aperture Method 0.3 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1.7 光度计重复性：≤ 0.0008A (1A, NIST 930D Filter)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1.8 基线</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1.8.1 基线漂移：≤ 0.0002 A/小时 (500 nm, 0A)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1.8.2 基线平直：±0.0015A (200 nm – 3000 nm)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1.10 噪声：&lt;0.00005 A（0A，500 nm均方根）</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1.11线性范围：优于±6A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1.12 样品类型：固体、液体样品均可测试</w:t>
            </w:r>
          </w:p>
        </w:tc>
        <w:tc>
          <w:tcPr>
            <w:tcW w:w="8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玻璃等样品的总反射和透散射等测试</w:t>
            </w:r>
          </w:p>
        </w:tc>
        <w:tc>
          <w:tcPr>
            <w:tcW w:w="8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c>
          <w:tcPr>
            <w:tcW w:w="104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16</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紫外-可见-近红外分光光度计</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PE  珀金埃尔默企业管理（上海）有限公司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LAMBDA 750（S）</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 波长范围：190-3300 nm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 带宽：0.17 nm-5.00 nm，以 0.01 nm的间隔连续可调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0.2nm-20nm，以0.04nm间隔可调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 杂散光 ：≤0.0001%T, 在 220, 340, 和370 nm 按ASTM E-387法测量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 波长精度：±0.15 nm UV/Vis ， ±0.5 nm NIR</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1.6 波长重复性：≤0.06nm UV/Vis ，≤0.1nm NIR</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1.7 光度计精度：± 0.003 A (NIST 930D Filters)；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 0.0006 A（Double Aperture Method 0.3 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1.8 光度计重复性：≤ 0.0008A (1A, NIST 930D Filter)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1.9 基线</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1.9.1 基线漂移：≤ 0.0002 A/小时 (500 nm, 0A)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1.9.2 基线平直：±0.0015A (200 nm – 3000 nm)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1.10 噪声：&lt;0.00005 A（0A，500 nm均方根）</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1.11线性范围：优于±6A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1.12 样品类型：固体、液体样品均可测试</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玻璃等样品的总反射和透散射等测试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傅里叶红外光谱仪</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珀金埃尔默企业管理（上海）有限公司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SP3</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  AVC实时扣除空气中的水和二氧化碳的强吸收。可在开机状态下单光束能量图中即可自动扣除空气中的水蒸气和二氧化碳气体的红外吸收.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2.  具有AVI功能。</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3. 无动态错误的改进型 Michelson干涉仪，双动镜机械转动式；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 光源 : 高能量黑体空腔光源。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 分束器   宽范围多镀层KBr双分束器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 减振装置   光学台与底盘隔离</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  仪器密封干燥  光学台,样品室,检测器室，有独立干燥密封</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  检测器   恒温快速恢复FR-DTGS检测器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9. 光阑   计算机控制连续可变光阑</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10. 分辨率   优于0.4 cm-1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 光谱范围   8300-350cm-1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  信噪比(P-P)  优于50000:1（4cm-1, 1 min， DTGS检测器，KBr分束器）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 OPD 速度:  0.10 to 4.00 cm/sec 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  纵坐标精度  优于0.05%T</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  波数精度  优于0.008 cm-1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16.  波数准确度  优于0.02 cm-1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辐射率的测定</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6" w:hRule="atLeast"/>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rPr>
            </w:pPr>
            <w:r>
              <w:rPr>
                <w:rFonts w:hint="eastAsia" w:ascii="楷体" w:hAnsi="楷体" w:eastAsia="楷体" w:cs="楷体"/>
                <w:i w:val="0"/>
                <w:iCs w:val="0"/>
                <w:color w:val="000000"/>
                <w:kern w:val="0"/>
                <w:sz w:val="21"/>
                <w:szCs w:val="21"/>
                <w:u w:val="none"/>
                <w:lang w:val="en-US" w:eastAsia="zh-CN" w:bidi="ar"/>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楷体" w:hAnsi="楷体" w:eastAsia="楷体" w:cs="楷体"/>
                <w:i w:val="0"/>
                <w:iCs w:val="0"/>
                <w:color w:val="FF0000"/>
                <w:kern w:val="0"/>
                <w:sz w:val="21"/>
                <w:szCs w:val="21"/>
                <w:u w:val="none"/>
                <w:lang w:val="en-US" w:eastAsia="zh-CN" w:bidi="ar"/>
              </w:rPr>
            </w:pPr>
            <w:r>
              <w:rPr>
                <w:rFonts w:hint="eastAsia" w:ascii="楷体" w:hAnsi="楷体" w:eastAsia="楷体" w:cs="楷体"/>
                <w:i w:val="0"/>
                <w:iCs w:val="0"/>
                <w:color w:val="FF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傅立叶变换红外光谱仪</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PE  珀金埃尔默企业管理（上海）有限公司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Spectrum 3</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  AVC实时扣除空气中的水和二氧化碳的强吸收。可在开机状态下单光束能量图中即可自动扣除空气中的水蒸气和二氧化碳气体的红外吸收.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2.  具有AVI功能。</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3. 无动态错误的改进型 Michelson干涉仪，双动镜机械转动式；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 光源 : 高能量黑体空腔光源。</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 分束器   宽范围多镀层KBr双分束器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6. 减振装置   光学台与底盘隔离</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  仪器密封干燥  光学台,样品室,检测器室，有独立干燥密封</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  检测器   恒温快速恢复FR-DTGS检测器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9. 光阑   计算机控制连续可变光阑</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10. 分辨率   优于0.4 cm-1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 光谱范围   8300-350cm-1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12.  信噪比(P-P)  优于50000:1（4cm-1, 1 min， DTGS检测器，KBr分束器）</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 OPD 速度:  0.10 to 4.00 cm/sec 可调</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14.  纵坐标精度  优于0.05%T</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15.  波数精度  优于0.008 cm-1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16.  波数准确度  优于0.02 cm-1</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辐射率的测定</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3" w:hRule="atLeast"/>
        </w:trPr>
        <w:tc>
          <w:tcPr>
            <w:tcW w:w="823" w:type="dxa"/>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5</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热流计</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日本</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HFM-GP10</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原理结构：热电堆式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内核材料：硅橡胶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热流范围：0~3500W/m2</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温度范围：-40~150℃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准确度：±2%（12~3500W/m2）</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分辨率：0.93 W/m2</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灵敏度：93W/m2.mV</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尺寸：30×15×1,5mm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导线长度：5m</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测量热流值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95000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6" w:hRule="atLeast"/>
        </w:trPr>
        <w:tc>
          <w:tcPr>
            <w:tcW w:w="823" w:type="dxa"/>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p>
        </w:tc>
        <w:tc>
          <w:tcPr>
            <w:tcW w:w="10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便携式超声波流量计</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北京格乐普</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GLP-TDS-100P</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流速范围 0～±30m/s</w:t>
            </w:r>
            <w:r>
              <w:rPr>
                <w:rFonts w:hint="eastAsia" w:ascii="楷体" w:hAnsi="楷体" w:eastAsia="楷体" w:cs="楷体"/>
                <w:i w:val="0"/>
                <w:iCs w:val="0"/>
                <w:color w:val="FF0000"/>
                <w:kern w:val="0"/>
                <w:sz w:val="21"/>
                <w:szCs w:val="21"/>
                <w:u w:val="none"/>
                <w:lang w:val="en-US" w:eastAsia="zh-CN" w:bidi="ar"/>
              </w:rPr>
              <w:br w:type="textWrapping"/>
            </w:r>
            <w:r>
              <w:rPr>
                <w:rFonts w:hint="eastAsia" w:ascii="楷体" w:hAnsi="楷体" w:eastAsia="楷体" w:cs="楷体"/>
                <w:i w:val="0"/>
                <w:iCs w:val="0"/>
                <w:color w:val="FF0000"/>
                <w:kern w:val="0"/>
                <w:sz w:val="21"/>
                <w:szCs w:val="21"/>
                <w:u w:val="none"/>
                <w:lang w:val="en-US" w:eastAsia="zh-CN" w:bidi="ar"/>
              </w:rPr>
              <w:t>测量精度 优于±1%</w:t>
            </w:r>
            <w:r>
              <w:rPr>
                <w:rFonts w:hint="eastAsia" w:ascii="楷体" w:hAnsi="楷体" w:eastAsia="楷体" w:cs="楷体"/>
                <w:i w:val="0"/>
                <w:iCs w:val="0"/>
                <w:color w:val="FF0000"/>
                <w:kern w:val="0"/>
                <w:sz w:val="21"/>
                <w:szCs w:val="21"/>
                <w:u w:val="none"/>
                <w:lang w:val="en-US" w:eastAsia="zh-CN" w:bidi="ar"/>
              </w:rPr>
              <w:br w:type="textWrapping"/>
            </w:r>
            <w:r>
              <w:rPr>
                <w:rFonts w:hint="eastAsia" w:ascii="楷体" w:hAnsi="楷体" w:eastAsia="楷体" w:cs="楷体"/>
                <w:i w:val="0"/>
                <w:iCs w:val="0"/>
                <w:color w:val="FF0000"/>
                <w:kern w:val="0"/>
                <w:sz w:val="21"/>
                <w:szCs w:val="21"/>
                <w:u w:val="none"/>
                <w:lang w:val="en-US" w:eastAsia="zh-CN" w:bidi="ar"/>
              </w:rPr>
              <w:t>重复性 优于±0.2%</w:t>
            </w:r>
            <w:r>
              <w:rPr>
                <w:rFonts w:hint="eastAsia" w:ascii="楷体" w:hAnsi="楷体" w:eastAsia="楷体" w:cs="楷体"/>
                <w:i w:val="0"/>
                <w:iCs w:val="0"/>
                <w:color w:val="FF0000"/>
                <w:kern w:val="0"/>
                <w:sz w:val="21"/>
                <w:szCs w:val="21"/>
                <w:u w:val="none"/>
                <w:lang w:val="en-US" w:eastAsia="zh-CN" w:bidi="ar"/>
              </w:rPr>
              <w:br w:type="textWrapping"/>
            </w:r>
            <w:r>
              <w:rPr>
                <w:rFonts w:hint="eastAsia" w:ascii="楷体" w:hAnsi="楷体" w:eastAsia="楷体" w:cs="楷体"/>
                <w:i w:val="0"/>
                <w:iCs w:val="0"/>
                <w:color w:val="FF0000"/>
                <w:kern w:val="0"/>
                <w:sz w:val="21"/>
                <w:szCs w:val="21"/>
                <w:u w:val="none"/>
                <w:lang w:val="en-US" w:eastAsia="zh-CN" w:bidi="ar"/>
              </w:rPr>
              <w:t>配标准中型、小型、大型传感器，电缆长度5 米×2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测量热流量值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25000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8" w:hRule="atLeast"/>
        </w:trPr>
        <w:tc>
          <w:tcPr>
            <w:tcW w:w="8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6</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幕墙一体4性装置</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北京恒应力科技有限公司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TMOD-6X9</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主要指标 精度</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压力箱最大压差 土10kPa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动风压波动 压力:2500Pa周期:3-55 压力:士2%</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空气流量 0-1500m/h &lt;3%</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淋水量 0~4L(m²min)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变形检测 位移:0~100mm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压力:&gt;±5000Pa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位移:≤0.01mm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压力:≤1%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 平面内变形 变形值:士1/100周期:3~10s 位移:≤0.5%FS</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配件：做基础和预埋件以及雨搭</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测量抗风压性能、气密性能、水密性能和层间变形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160000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0" w:hRule="atLeast"/>
        </w:trPr>
        <w:tc>
          <w:tcPr>
            <w:tcW w:w="823" w:type="dxa"/>
            <w:vMerge w:val="continue"/>
            <w:tcBorders>
              <w:top w:val="single" w:color="auto" w:sz="4" w:space="0"/>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p>
        </w:tc>
        <w:tc>
          <w:tcPr>
            <w:tcW w:w="10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幕墙一体4性装置</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北京恒应力科技有限公司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TMOD-6X9</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主要指标 精度</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1压力箱最大压差 土10kPa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2动风压波动 压力:2500Pa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3周期:3-55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4压力:士2%</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 空气流量 0-1500m/h &lt;3%</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6淋水量 0~4L(m²min)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7变形检测 位移:0~100mm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8压力:&gt;±5000Pa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9位移:≤0.01mm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10压力:≤1%</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11 平面内变形 变形值:士1/100</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 xml:space="preserve">12周期:3~10s </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13位移:≤0.5%FS</w:t>
            </w:r>
            <w:r>
              <w:rPr>
                <w:rFonts w:hint="eastAsia" w:ascii="楷体" w:hAnsi="楷体" w:eastAsia="楷体" w:cs="楷体"/>
                <w:i w:val="0"/>
                <w:iCs w:val="0"/>
                <w:color w:val="000000"/>
                <w:kern w:val="0"/>
                <w:sz w:val="21"/>
                <w:szCs w:val="21"/>
                <w:u w:val="none"/>
                <w:lang w:val="en-US" w:eastAsia="zh-CN" w:bidi="ar"/>
              </w:rPr>
              <w:br w:type="textWrapping"/>
            </w:r>
            <w:r>
              <w:rPr>
                <w:rStyle w:val="4"/>
                <w:rFonts w:hint="eastAsia" w:ascii="楷体" w:hAnsi="楷体" w:eastAsia="楷体" w:cs="楷体"/>
                <w:sz w:val="21"/>
                <w:szCs w:val="21"/>
                <w:lang w:val="en-US" w:eastAsia="zh-CN" w:bidi="ar"/>
              </w:rPr>
              <w:t>14配件：（1）中标方施工不低于0.4m深基础和预埋件且高于地平面0.3m高柱脚，以及保护装置的顶部雨棚，（2）中标方采取地下埋置的方式布设装置与总变压器之间的电力线路，且满足不低于30kw使用要求，装置与总变压器之间的距离和地下资料由中标方自行组织现场踏勘和查找相关资料（3）中标方负责布置给水管道和排水管道，给水管道有一定的保温措施（4）中标方提供保护水泵、电机、风机设备的基础与简易防护罩。</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测量抗风压性能、气密性能、水密性能和层间变形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195000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0" w:hRule="atLeast"/>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变更前</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AI智能控制系统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北京恒应力科技有限公司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BJQC</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利用AI智能控制：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1.微压力控制精度±1Pa;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2.中压力控制精度±1Pa;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3.高压力控制精度±1Pa;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4.位移控制精度±0.1mm;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5.本系统可应用到不同的设备；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曲线保存：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1.加压曲线自动保存;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2.位移曲线自动保存;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自动录屏：试验过程自动录屏；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自动上传：</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1.自动把试验数据上传到华为云平台；</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2.自动把试验数据上传到3h平台；</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软件自动升级：</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软件自动升级，无需付费；</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配件：需要安装玻璃罩和彩钢围挡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测量抗风压性能、气密性能、水密性能和层间变形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210000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0" w:hRule="atLeast"/>
        </w:trPr>
        <w:tc>
          <w:tcPr>
            <w:tcW w:w="82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lang w:val="en-US" w:eastAsia="zh-CN"/>
              </w:rPr>
            </w:pPr>
            <w:r>
              <w:rPr>
                <w:rFonts w:hint="eastAsia" w:ascii="楷体" w:hAnsi="楷体" w:eastAsia="楷体" w:cs="楷体"/>
                <w:i w:val="0"/>
                <w:iCs w:val="0"/>
                <w:color w:val="000000"/>
                <w:sz w:val="21"/>
                <w:szCs w:val="21"/>
                <w:u w:val="none"/>
                <w:lang w:val="en-US" w:eastAsia="zh-CN"/>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变更后</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AI智能控制系统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北京恒应力科技有限公司</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BJQC</w:t>
            </w:r>
          </w:p>
        </w:tc>
        <w:tc>
          <w:tcPr>
            <w:tcW w:w="5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利用AI智能控制：</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1.微压力控制精度±1Pa;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2.中压力控制精度±1Pa;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3.高压力控制精度±1Pa;</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4.位移控制精度±0.1mm;</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5.本系统可应用到不同的设备；</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曲线保存：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1.加压曲线自动保存;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2.位移曲线自动保存;</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自动录屏：试验过程自动录屏；</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自动上传：</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1.自动把试验数据上传到华为云平台；</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2.自动把试验数据上传到3h平台；</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软件自动升级：</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软件自动升级，无需付费；</w:t>
            </w:r>
            <w:r>
              <w:rPr>
                <w:rFonts w:hint="eastAsia" w:ascii="楷体" w:hAnsi="楷体" w:eastAsia="楷体" w:cs="楷体"/>
                <w:i w:val="0"/>
                <w:iCs w:val="0"/>
                <w:color w:val="000000"/>
                <w:kern w:val="0"/>
                <w:sz w:val="21"/>
                <w:szCs w:val="21"/>
                <w:u w:val="none"/>
                <w:lang w:val="en-US" w:eastAsia="zh-CN" w:bidi="ar"/>
              </w:rPr>
              <w:br w:type="textWrapping"/>
            </w:r>
            <w:r>
              <w:rPr>
                <w:rFonts w:hint="eastAsia" w:ascii="楷体" w:hAnsi="楷体" w:eastAsia="楷体" w:cs="楷体"/>
                <w:i w:val="0"/>
                <w:iCs w:val="0"/>
                <w:color w:val="000000"/>
                <w:kern w:val="0"/>
                <w:sz w:val="21"/>
                <w:szCs w:val="21"/>
                <w:u w:val="none"/>
                <w:lang w:val="en-US" w:eastAsia="zh-CN" w:bidi="ar"/>
              </w:rPr>
              <w:t>配件：</w:t>
            </w:r>
            <w:r>
              <w:rPr>
                <w:rStyle w:val="5"/>
                <w:rFonts w:hint="eastAsia" w:ascii="楷体" w:hAnsi="楷体" w:eastAsia="楷体" w:cs="楷体"/>
                <w:sz w:val="21"/>
                <w:szCs w:val="21"/>
                <w:lang w:val="en-US" w:eastAsia="zh-CN" w:bidi="ar"/>
              </w:rPr>
              <w:t>中标方需要提供控制箱和操作电脑的（不低于长6m*宽3m*高2.8m）办公式集装箱简易房，且安装到指定位置，具体位置由中标方自行组织现场踏勘和与甲方对接。</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测量抗风压性能、气密性能、水密性能和层间变形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245000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FF0000"/>
                <w:sz w:val="21"/>
                <w:szCs w:val="21"/>
                <w:u w:val="none"/>
              </w:rPr>
            </w:pPr>
            <w:r>
              <w:rPr>
                <w:rFonts w:hint="eastAsia" w:ascii="楷体" w:hAnsi="楷体" w:eastAsia="楷体" w:cs="楷体"/>
                <w:i w:val="0"/>
                <w:iCs w:val="0"/>
                <w:color w:val="FF0000"/>
                <w:kern w:val="0"/>
                <w:sz w:val="21"/>
                <w:szCs w:val="21"/>
                <w:u w:val="none"/>
                <w:lang w:val="en-US" w:eastAsia="zh-CN" w:bidi="ar"/>
              </w:rPr>
              <w:t>245000</w:t>
            </w:r>
          </w:p>
        </w:tc>
      </w:tr>
    </w:tbl>
    <w:p>
      <w:pPr>
        <w:tabs>
          <w:tab w:val="left" w:pos="-142"/>
        </w:tabs>
        <w:spacing w:line="480" w:lineRule="auto"/>
        <w:ind w:left="-142" w:right="-422" w:rightChars="-201" w:firstLine="327" w:firstLineChars="156"/>
        <w:jc w:val="left"/>
        <w:rPr>
          <w:rFonts w:hint="eastAsia" w:ascii="楷体" w:hAnsi="楷体" w:eastAsia="楷体" w:cs="楷体"/>
          <w:sz w:val="21"/>
          <w:szCs w:val="21"/>
          <w:lang w:val="en-US" w:eastAsia="zh-CN"/>
        </w:rPr>
      </w:pPr>
    </w:p>
    <w:p>
      <w:pPr>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因设备参数发生实质性变化，开标日期改为2023年11月10日上午10：30，开标地点不变。</w:t>
      </w:r>
    </w:p>
    <w:sectPr>
      <w:pgSz w:w="16838" w:h="11906" w:orient="landscape"/>
      <w:pgMar w:top="1417"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MmE1MTZhMzE2ZDA1NzhiMzU4YmM4MzVlOGMyNjkifQ=="/>
  </w:docVars>
  <w:rsids>
    <w:rsidRoot w:val="5F21371A"/>
    <w:rsid w:val="2D3F2101"/>
    <w:rsid w:val="2F9F02CA"/>
    <w:rsid w:val="464239D2"/>
    <w:rsid w:val="5F21371A"/>
    <w:rsid w:val="65C54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FF0000"/>
      <w:sz w:val="20"/>
      <w:szCs w:val="20"/>
      <w:u w:val="none"/>
    </w:rPr>
  </w:style>
  <w:style w:type="character" w:customStyle="1" w:styleId="5">
    <w:name w:val="font31"/>
    <w:basedOn w:val="3"/>
    <w:qFormat/>
    <w:uiPriority w:val="0"/>
    <w:rPr>
      <w:rFonts w:hint="eastAsia" w:ascii="宋体" w:hAnsi="宋体" w:eastAsia="宋体" w:cs="宋体"/>
      <w:color w:val="FF0000"/>
      <w:sz w:val="20"/>
      <w:szCs w:val="20"/>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2620</Words>
  <Characters>3866</Characters>
  <Lines>0</Lines>
  <Paragraphs>0</Paragraphs>
  <TotalTime>2</TotalTime>
  <ScaleCrop>false</ScaleCrop>
  <LinksUpToDate>false</LinksUpToDate>
  <CharactersWithSpaces>4259</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2023-10-27T07:31:00Z</dcterms:created>
  <dc:creator>吃青豆的猫</dc:creator>
  <cp:lastModifiedBy>王燕</cp:lastModifiedBy>
  <dcterms:modified xsi:type="dcterms:W3CDTF">2023-10-27T08:10:41Z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C9DA47AF6D2847159F83558787D49D61_13</vt:lpwstr>
  </property>
</Properties>
</file>