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cs="方正黑体_GBK"/>
          <w:sz w:val="32"/>
        </w:rPr>
      </w:pPr>
      <w:r>
        <w:rPr>
          <w:rFonts w:hint="eastAsia" w:ascii="方正黑体_GBK" w:hAnsi="方正黑体_GBK" w:eastAsia="方正黑体_GBK" w:cs="方正黑体_GBK"/>
          <w:sz w:val="32"/>
        </w:rPr>
        <w:t>附件1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（2023年度）</w:t>
      </w:r>
    </w:p>
    <w:p>
      <w:pPr>
        <w:spacing w:line="240" w:lineRule="exact"/>
        <w:rPr>
          <w:rFonts w:ascii="仿宋_GB2312" w:hAnsi="宋体" w:eastAsia="仿宋_GB2312"/>
          <w:sz w:val="30"/>
          <w:szCs w:val="30"/>
        </w:rPr>
      </w:pPr>
    </w:p>
    <w:tbl>
      <w:tblPr>
        <w:tblStyle w:val="6"/>
        <w:tblW w:w="5166" w:type="pct"/>
        <w:jc w:val="center"/>
        <w:tblLayout w:type="autofit"/>
        <w:tblCellMar>
          <w:top w:w="0" w:type="dxa"/>
          <w:left w:w="108" w:type="dxa"/>
          <w:bottom w:w="0" w:type="dxa"/>
          <w:right w:w="108" w:type="dxa"/>
        </w:tblCellMar>
      </w:tblPr>
      <w:tblGrid>
        <w:gridCol w:w="872"/>
        <w:gridCol w:w="1394"/>
        <w:gridCol w:w="1380"/>
        <w:gridCol w:w="1602"/>
        <w:gridCol w:w="1752"/>
        <w:gridCol w:w="425"/>
        <w:gridCol w:w="1374"/>
        <w:gridCol w:w="1834"/>
        <w:gridCol w:w="483"/>
        <w:gridCol w:w="600"/>
        <w:gridCol w:w="293"/>
        <w:gridCol w:w="937"/>
        <w:gridCol w:w="91"/>
        <w:gridCol w:w="1608"/>
      </w:tblGrid>
      <w:tr>
        <w:tblPrEx>
          <w:tblCellMar>
            <w:top w:w="0" w:type="dxa"/>
            <w:left w:w="108" w:type="dxa"/>
            <w:bottom w:w="0" w:type="dxa"/>
            <w:right w:w="108" w:type="dxa"/>
          </w:tblCellMar>
        </w:tblPrEx>
        <w:trPr>
          <w:trHeight w:val="430" w:hRule="exact"/>
          <w:jc w:val="center"/>
        </w:trPr>
        <w:tc>
          <w:tcPr>
            <w:tcW w:w="774"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4226" w:type="pct"/>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11000023T000002069201-城市轨道交通周边构（建）筑物振动监测及评价技术研究</w:t>
            </w:r>
          </w:p>
        </w:tc>
      </w:tr>
      <w:tr>
        <w:tblPrEx>
          <w:tblCellMar>
            <w:top w:w="0" w:type="dxa"/>
            <w:left w:w="108" w:type="dxa"/>
            <w:bottom w:w="0" w:type="dxa"/>
            <w:right w:w="108" w:type="dxa"/>
          </w:tblCellMar>
        </w:tblPrEx>
        <w:trPr>
          <w:trHeight w:val="476" w:hRule="exact"/>
          <w:jc w:val="center"/>
        </w:trPr>
        <w:tc>
          <w:tcPr>
            <w:tcW w:w="774"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2230"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199001-北京市市政工程研究院</w:t>
            </w:r>
          </w:p>
        </w:tc>
        <w:tc>
          <w:tcPr>
            <w:tcW w:w="626"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1370"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199001-北京市市政工程研究院</w:t>
            </w:r>
          </w:p>
        </w:tc>
      </w:tr>
      <w:tr>
        <w:tblPrEx>
          <w:tblCellMar>
            <w:top w:w="0" w:type="dxa"/>
            <w:left w:w="108" w:type="dxa"/>
            <w:bottom w:w="0" w:type="dxa"/>
            <w:right w:w="108" w:type="dxa"/>
          </w:tblCellMar>
        </w:tblPrEx>
        <w:trPr>
          <w:trHeight w:val="452" w:hRule="exact"/>
          <w:jc w:val="center"/>
        </w:trPr>
        <w:tc>
          <w:tcPr>
            <w:tcW w:w="77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2230" w:type="pct"/>
            <w:gridSpan w:val="5"/>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孙景来</w:t>
            </w:r>
          </w:p>
        </w:tc>
        <w:tc>
          <w:tcPr>
            <w:tcW w:w="626"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1370" w:type="pct"/>
            <w:gridSpan w:val="6"/>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13810648881</w:t>
            </w:r>
          </w:p>
        </w:tc>
      </w:tr>
      <w:tr>
        <w:tblPrEx>
          <w:tblCellMar>
            <w:top w:w="0" w:type="dxa"/>
            <w:left w:w="108" w:type="dxa"/>
            <w:bottom w:w="0" w:type="dxa"/>
            <w:right w:w="108" w:type="dxa"/>
          </w:tblCellMar>
        </w:tblPrEx>
        <w:trPr>
          <w:trHeight w:val="567" w:hRule="exact"/>
          <w:jc w:val="center"/>
        </w:trPr>
        <w:tc>
          <w:tcPr>
            <w:tcW w:w="77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01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9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614"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626"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37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451"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54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466" w:hRule="exact"/>
          <w:jc w:val="center"/>
        </w:trPr>
        <w:tc>
          <w:tcPr>
            <w:tcW w:w="77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18"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59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85.00</w:t>
            </w:r>
          </w:p>
        </w:tc>
        <w:tc>
          <w:tcPr>
            <w:tcW w:w="614"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85.00</w:t>
            </w:r>
          </w:p>
        </w:tc>
        <w:tc>
          <w:tcPr>
            <w:tcW w:w="626"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85.00</w:t>
            </w:r>
          </w:p>
        </w:tc>
        <w:tc>
          <w:tcPr>
            <w:tcW w:w="37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51"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4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CellMar>
            <w:top w:w="0" w:type="dxa"/>
            <w:left w:w="108" w:type="dxa"/>
            <w:bottom w:w="0" w:type="dxa"/>
            <w:right w:w="108" w:type="dxa"/>
          </w:tblCellMar>
        </w:tblPrEx>
        <w:trPr>
          <w:trHeight w:val="531" w:hRule="exact"/>
          <w:jc w:val="center"/>
        </w:trPr>
        <w:tc>
          <w:tcPr>
            <w:tcW w:w="77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18"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59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85.00</w:t>
            </w:r>
          </w:p>
        </w:tc>
        <w:tc>
          <w:tcPr>
            <w:tcW w:w="614"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85.00</w:t>
            </w:r>
          </w:p>
        </w:tc>
        <w:tc>
          <w:tcPr>
            <w:tcW w:w="626"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85.00</w:t>
            </w:r>
          </w:p>
        </w:tc>
        <w:tc>
          <w:tcPr>
            <w:tcW w:w="37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51"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4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5" w:hRule="exact"/>
          <w:jc w:val="center"/>
        </w:trPr>
        <w:tc>
          <w:tcPr>
            <w:tcW w:w="77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18"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上年结转资金</w:t>
            </w:r>
          </w:p>
        </w:tc>
        <w:tc>
          <w:tcPr>
            <w:tcW w:w="59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14"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26"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7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51"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4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98" w:hRule="exact"/>
          <w:jc w:val="center"/>
        </w:trPr>
        <w:tc>
          <w:tcPr>
            <w:tcW w:w="77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018"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其他资金</w:t>
            </w:r>
          </w:p>
        </w:tc>
        <w:tc>
          <w:tcPr>
            <w:tcW w:w="59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14"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26"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370"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51"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4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298"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2706"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1996" w:type="pct"/>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597" w:hRule="exact"/>
          <w:jc w:val="center"/>
        </w:trPr>
        <w:tc>
          <w:tcPr>
            <w:tcW w:w="298"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706" w:type="pct"/>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年度目标： (1)研究目标:①阵列式振动传感器研发与振动采集技术研究；②考虑场地条件的周边构筑物振动强度预测模型修正研究；③基于结构动态应力的地铁振动安全允许标准研究；④典型地铁线路结构振动安全判定及安全范围研究。 (2)成果目标:①依托研究项目申请专利2项；②依托试验成果发表论文2篇；③阵列式振动监测设备样机1套。</w:t>
            </w:r>
          </w:p>
        </w:tc>
        <w:tc>
          <w:tcPr>
            <w:tcW w:w="1996" w:type="pct"/>
            <w:gridSpan w:val="7"/>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完成基于结构动态应力的地铁振动安全允许标准；建立振动强度预测修正模型；公开发表论文2篇，其中SCI检索1篇，EI检索1篇；申请相关专利3项，其中发明专利2项；提交课题研究报告1份；</w:t>
            </w:r>
          </w:p>
        </w:tc>
      </w:tr>
      <w:tr>
        <w:tblPrEx>
          <w:tblCellMar>
            <w:top w:w="0" w:type="dxa"/>
            <w:left w:w="108" w:type="dxa"/>
            <w:bottom w:w="0" w:type="dxa"/>
            <w:right w:w="108" w:type="dxa"/>
          </w:tblCellMar>
        </w:tblPrEx>
        <w:trPr>
          <w:trHeight w:val="690" w:hRule="exact"/>
          <w:jc w:val="center"/>
        </w:trPr>
        <w:tc>
          <w:tcPr>
            <w:tcW w:w="29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475"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471"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290"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4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79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305"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32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58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446" w:hRule="exact"/>
          <w:jc w:val="center"/>
        </w:trPr>
        <w:tc>
          <w:tcPr>
            <w:tcW w:w="29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5"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471"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29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专利数量</w:t>
            </w:r>
          </w:p>
        </w:tc>
        <w:tc>
          <w:tcPr>
            <w:tcW w:w="4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2项</w:t>
            </w:r>
          </w:p>
        </w:tc>
        <w:tc>
          <w:tcPr>
            <w:tcW w:w="79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宋体"/>
                <w:kern w:val="0"/>
                <w:szCs w:val="21"/>
              </w:rPr>
            </w:pPr>
            <w:r>
              <w:rPr>
                <w:rFonts w:hint="eastAsia" w:ascii="仿宋_GB2312" w:hAnsi="宋体" w:eastAsia="仿宋_GB2312" w:cs="宋体"/>
                <w:kern w:val="0"/>
                <w:szCs w:val="21"/>
              </w:rPr>
              <w:t>3项</w:t>
            </w:r>
          </w:p>
        </w:tc>
        <w:tc>
          <w:tcPr>
            <w:tcW w:w="305"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2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8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98" w:hRule="exact"/>
          <w:jc w:val="center"/>
        </w:trPr>
        <w:tc>
          <w:tcPr>
            <w:tcW w:w="29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1"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9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论文数量</w:t>
            </w:r>
          </w:p>
        </w:tc>
        <w:tc>
          <w:tcPr>
            <w:tcW w:w="4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2篇</w:t>
            </w:r>
          </w:p>
        </w:tc>
        <w:tc>
          <w:tcPr>
            <w:tcW w:w="791"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宋体"/>
                <w:kern w:val="0"/>
                <w:szCs w:val="21"/>
              </w:rPr>
            </w:pPr>
            <w:r>
              <w:rPr>
                <w:rFonts w:hint="eastAsia" w:ascii="仿宋_GB2312" w:hAnsi="宋体" w:eastAsia="仿宋_GB2312" w:cs="宋体"/>
                <w:kern w:val="0"/>
                <w:szCs w:val="21"/>
              </w:rPr>
              <w:t>2篇</w:t>
            </w:r>
          </w:p>
        </w:tc>
        <w:tc>
          <w:tcPr>
            <w:tcW w:w="305"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2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8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82" w:hRule="exact"/>
          <w:jc w:val="center"/>
        </w:trPr>
        <w:tc>
          <w:tcPr>
            <w:tcW w:w="29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1"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29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建立基于结构动态应力的地铁振动安全允许标准</w:t>
            </w:r>
          </w:p>
        </w:tc>
        <w:tc>
          <w:tcPr>
            <w:tcW w:w="4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1项</w:t>
            </w:r>
          </w:p>
        </w:tc>
        <w:tc>
          <w:tcPr>
            <w:tcW w:w="79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highlight w:val="none"/>
              </w:rPr>
              <w:t>1项</w:t>
            </w:r>
          </w:p>
        </w:tc>
        <w:tc>
          <w:tcPr>
            <w:tcW w:w="305"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2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8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14" w:hRule="exact"/>
          <w:jc w:val="center"/>
        </w:trPr>
        <w:tc>
          <w:tcPr>
            <w:tcW w:w="29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1"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9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建立考虑场地条件的周边构筑物振动强度预测修正模型</w:t>
            </w:r>
          </w:p>
        </w:tc>
        <w:tc>
          <w:tcPr>
            <w:tcW w:w="4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1项</w:t>
            </w:r>
          </w:p>
        </w:tc>
        <w:tc>
          <w:tcPr>
            <w:tcW w:w="79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建立了相应的预测修正模型</w:t>
            </w:r>
          </w:p>
        </w:tc>
        <w:tc>
          <w:tcPr>
            <w:tcW w:w="305"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2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8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764" w:hRule="exact"/>
          <w:jc w:val="center"/>
        </w:trPr>
        <w:tc>
          <w:tcPr>
            <w:tcW w:w="29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1" w:type="pct"/>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29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一季度：项目启动：查阅相关文献及前期调研，完成研究方案设计，并经过技术论证，形成项目实施方案。二季度：研发阵列式振动传感器技术与设备。利用振动台进行振动数据采集试验，验证传感器的准确性和适用性。申请专利1项，发表论文1篇。</w:t>
            </w:r>
          </w:p>
        </w:tc>
        <w:tc>
          <w:tcPr>
            <w:tcW w:w="4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1项</w:t>
            </w:r>
          </w:p>
        </w:tc>
        <w:tc>
          <w:tcPr>
            <w:tcW w:w="79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按计划完成了项目实施方案及设备</w:t>
            </w:r>
          </w:p>
        </w:tc>
        <w:tc>
          <w:tcPr>
            <w:tcW w:w="305"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32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58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790" w:hRule="exact"/>
          <w:jc w:val="center"/>
        </w:trPr>
        <w:tc>
          <w:tcPr>
            <w:tcW w:w="29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1"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9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三季度：结合现行标准与规范，建立相应的修正模型与修正量参考值。发表学术论文1篇。四季度：挖掘并建立振动速度、振动频率与动态应力的关系，构建基于结构动态应力的地铁振动安全允许标准，申请专利1项，撰写课题报告完成结题验收。</w:t>
            </w:r>
          </w:p>
        </w:tc>
        <w:tc>
          <w:tcPr>
            <w:tcW w:w="4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1项</w:t>
            </w:r>
          </w:p>
        </w:tc>
        <w:tc>
          <w:tcPr>
            <w:tcW w:w="79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宋体" w:cs="宋体"/>
                <w:kern w:val="0"/>
                <w:szCs w:val="21"/>
                <w:lang w:val="en-US" w:eastAsia="zh-CN"/>
              </w:rPr>
            </w:pPr>
            <w:r>
              <w:rPr>
                <w:rFonts w:hint="eastAsia" w:ascii="仿宋_GB2312" w:hAnsi="宋体" w:eastAsia="仿宋_GB2312" w:cs="宋体"/>
                <w:kern w:val="0"/>
                <w:szCs w:val="21"/>
                <w:lang w:val="en-US" w:eastAsia="zh-CN"/>
              </w:rPr>
              <w:t>按计划完成项目研究内容及成果指标</w:t>
            </w:r>
          </w:p>
        </w:tc>
        <w:tc>
          <w:tcPr>
            <w:tcW w:w="30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32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58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82" w:hRule="exact"/>
          <w:jc w:val="center"/>
        </w:trPr>
        <w:tc>
          <w:tcPr>
            <w:tcW w:w="29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29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指标1：</w:t>
            </w:r>
          </w:p>
        </w:tc>
        <w:tc>
          <w:tcPr>
            <w:tcW w:w="4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9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c>
          <w:tcPr>
            <w:tcW w:w="305"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p>
        </w:tc>
        <w:tc>
          <w:tcPr>
            <w:tcW w:w="32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c>
          <w:tcPr>
            <w:tcW w:w="58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530" w:hRule="exact"/>
          <w:jc w:val="center"/>
        </w:trPr>
        <w:tc>
          <w:tcPr>
            <w:tcW w:w="29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5"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47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经济效益指标</w:t>
            </w:r>
          </w:p>
        </w:tc>
        <w:tc>
          <w:tcPr>
            <w:tcW w:w="129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振动监测与危害治理是未来地铁面临的严重病害，提前布局新领域，开发新技术，能够尽快形成振动监测和治理领域技术优势，确立集团在振动防治领域的领先地位。同时为拓展业务增长点，抢占市场，提升产值做好充分准备。</w:t>
            </w:r>
          </w:p>
        </w:tc>
        <w:tc>
          <w:tcPr>
            <w:tcW w:w="4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bookmarkStart w:id="0" w:name="_GoBack"/>
            <w:bookmarkEnd w:id="0"/>
            <w:r>
              <w:rPr>
                <w:rFonts w:hint="eastAsia" w:ascii="仿宋_GB2312" w:hAnsi="宋体" w:eastAsia="仿宋_GB2312" w:cs="宋体"/>
                <w:kern w:val="0"/>
                <w:szCs w:val="21"/>
              </w:rPr>
              <w:t>1项</w:t>
            </w:r>
          </w:p>
        </w:tc>
        <w:tc>
          <w:tcPr>
            <w:tcW w:w="79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宋体" w:cs="宋体"/>
                <w:kern w:val="0"/>
                <w:szCs w:val="21"/>
                <w:lang w:val="en-US" w:eastAsia="zh-CN"/>
              </w:rPr>
            </w:pPr>
            <w:r>
              <w:rPr>
                <w:rFonts w:hint="eastAsia" w:ascii="仿宋_GB2312" w:hAnsi="宋体" w:eastAsia="仿宋_GB2312" w:cs="宋体"/>
                <w:kern w:val="0"/>
                <w:szCs w:val="21"/>
                <w:lang w:val="en-US" w:eastAsia="zh-CN"/>
              </w:rPr>
              <w:t>完成2项现场监测项目，实现经济效益15万元</w:t>
            </w:r>
          </w:p>
        </w:tc>
        <w:tc>
          <w:tcPr>
            <w:tcW w:w="30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2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w:t>
            </w:r>
          </w:p>
        </w:tc>
        <w:tc>
          <w:tcPr>
            <w:tcW w:w="58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项目成果转化率还需进一步提升</w:t>
            </w:r>
          </w:p>
        </w:tc>
      </w:tr>
      <w:tr>
        <w:tblPrEx>
          <w:tblCellMar>
            <w:top w:w="0" w:type="dxa"/>
            <w:left w:w="108" w:type="dxa"/>
            <w:bottom w:w="0" w:type="dxa"/>
            <w:right w:w="108" w:type="dxa"/>
          </w:tblCellMar>
        </w:tblPrEx>
        <w:trPr>
          <w:trHeight w:val="1122" w:hRule="exact"/>
          <w:jc w:val="center"/>
        </w:trPr>
        <w:tc>
          <w:tcPr>
            <w:tcW w:w="29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社会效益指标</w:t>
            </w:r>
          </w:p>
        </w:tc>
        <w:tc>
          <w:tcPr>
            <w:tcW w:w="129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探索环境振动监测及预警技术，创建振动监测和预警方法是进一步完善城市轨道交通健康运营防控体系以及保障城市安全运营的关键。</w:t>
            </w:r>
          </w:p>
        </w:tc>
        <w:tc>
          <w:tcPr>
            <w:tcW w:w="4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1项</w:t>
            </w:r>
          </w:p>
        </w:tc>
        <w:tc>
          <w:tcPr>
            <w:tcW w:w="79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为地铁振动预测及防控提供了有效参考，完成的项目均起到较好的社会效益</w:t>
            </w:r>
          </w:p>
        </w:tc>
        <w:tc>
          <w:tcPr>
            <w:tcW w:w="305"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2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w:t>
            </w:r>
          </w:p>
        </w:tc>
        <w:tc>
          <w:tcPr>
            <w:tcW w:w="58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技术成果有待进一步推广并应用</w:t>
            </w:r>
          </w:p>
        </w:tc>
      </w:tr>
      <w:tr>
        <w:tblPrEx>
          <w:tblCellMar>
            <w:top w:w="0" w:type="dxa"/>
            <w:left w:w="108" w:type="dxa"/>
            <w:bottom w:w="0" w:type="dxa"/>
            <w:right w:w="108" w:type="dxa"/>
          </w:tblCellMar>
        </w:tblPrEx>
        <w:trPr>
          <w:trHeight w:val="1066" w:hRule="exact"/>
          <w:jc w:val="center"/>
        </w:trPr>
        <w:tc>
          <w:tcPr>
            <w:tcW w:w="29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生态效益指标</w:t>
            </w:r>
          </w:p>
        </w:tc>
        <w:tc>
          <w:tcPr>
            <w:tcW w:w="129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本项目研究过程中使用的的材料均对环境无毒、无害，研究成果为振动的治理具有推动作用，有效地降低振动对环境的危害。</w:t>
            </w:r>
          </w:p>
        </w:tc>
        <w:tc>
          <w:tcPr>
            <w:tcW w:w="4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1项</w:t>
            </w:r>
          </w:p>
        </w:tc>
        <w:tc>
          <w:tcPr>
            <w:tcW w:w="79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项目研究过程中使用的材料及现场应用过程中均对环境无毒无害，并对振动治理奠定基础</w:t>
            </w:r>
          </w:p>
        </w:tc>
        <w:tc>
          <w:tcPr>
            <w:tcW w:w="305"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32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58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振动危害作为环境危害，本项目研究成果有待在更多环境中应用</w:t>
            </w:r>
          </w:p>
        </w:tc>
      </w:tr>
      <w:tr>
        <w:tblPrEx>
          <w:tblCellMar>
            <w:top w:w="0" w:type="dxa"/>
            <w:left w:w="108" w:type="dxa"/>
            <w:bottom w:w="0" w:type="dxa"/>
            <w:right w:w="108" w:type="dxa"/>
          </w:tblCellMar>
        </w:tblPrEx>
        <w:trPr>
          <w:trHeight w:val="1818" w:hRule="exact"/>
          <w:jc w:val="center"/>
        </w:trPr>
        <w:tc>
          <w:tcPr>
            <w:tcW w:w="29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29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本项目具有巨大的行业示范效应，研究成果将为振动危害治理提供技术支持。同时，单位及课题组长期从事地铁结构病害治理的相关工作，研究团队稳定，组织管理机构稳固、运行机制成熟，在持续财力支持下具有很强的可持续性。</w:t>
            </w:r>
          </w:p>
        </w:tc>
        <w:tc>
          <w:tcPr>
            <w:tcW w:w="4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1项</w:t>
            </w:r>
          </w:p>
        </w:tc>
        <w:tc>
          <w:tcPr>
            <w:tcW w:w="79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基本完成</w:t>
            </w:r>
          </w:p>
        </w:tc>
        <w:tc>
          <w:tcPr>
            <w:tcW w:w="305"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32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58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研究内容有待继续深入</w:t>
            </w:r>
          </w:p>
        </w:tc>
      </w:tr>
      <w:tr>
        <w:tblPrEx>
          <w:tblCellMar>
            <w:top w:w="0" w:type="dxa"/>
            <w:left w:w="108" w:type="dxa"/>
            <w:bottom w:w="0" w:type="dxa"/>
            <w:right w:w="108" w:type="dxa"/>
          </w:tblCellMar>
        </w:tblPrEx>
        <w:trPr>
          <w:trHeight w:val="826" w:hRule="exact"/>
          <w:jc w:val="center"/>
        </w:trPr>
        <w:tc>
          <w:tcPr>
            <w:tcW w:w="29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47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29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现场应用后基本满足业主单位的管理需求，总体满意度达到95%</w:t>
            </w:r>
          </w:p>
        </w:tc>
        <w:tc>
          <w:tcPr>
            <w:tcW w:w="4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1项</w:t>
            </w:r>
          </w:p>
        </w:tc>
        <w:tc>
          <w:tcPr>
            <w:tcW w:w="791"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基本满意</w:t>
            </w:r>
          </w:p>
        </w:tc>
        <w:tc>
          <w:tcPr>
            <w:tcW w:w="305"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32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w:t>
            </w:r>
          </w:p>
        </w:tc>
        <w:tc>
          <w:tcPr>
            <w:tcW w:w="58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业主单位基本满意</w:t>
            </w:r>
          </w:p>
        </w:tc>
      </w:tr>
      <w:tr>
        <w:tblPrEx>
          <w:tblCellMar>
            <w:top w:w="0" w:type="dxa"/>
            <w:left w:w="108" w:type="dxa"/>
            <w:bottom w:w="0" w:type="dxa"/>
            <w:right w:w="108" w:type="dxa"/>
          </w:tblCellMar>
        </w:tblPrEx>
        <w:trPr>
          <w:trHeight w:val="477" w:hRule="exact"/>
          <w:jc w:val="center"/>
        </w:trPr>
        <w:tc>
          <w:tcPr>
            <w:tcW w:w="3795" w:type="pct"/>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30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320" w:type="pc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91</w:t>
            </w:r>
          </w:p>
        </w:tc>
        <w:tc>
          <w:tcPr>
            <w:tcW w:w="58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520" w:lineRule="exact"/>
        <w:ind w:firstLine="420" w:firstLineChars="200"/>
      </w:pPr>
    </w:p>
    <w:sectPr>
      <w:footerReference r:id="rId3" w:type="default"/>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0000000000000000000"/>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xOTVkN2ZmMjVjM2EzNTY4MWNhM2I2OGZkMjAyOTMifQ=="/>
  </w:docVars>
  <w:rsids>
    <w:rsidRoot w:val="F77F09F4"/>
    <w:rsid w:val="001551F4"/>
    <w:rsid w:val="002226D7"/>
    <w:rsid w:val="003E0298"/>
    <w:rsid w:val="00661200"/>
    <w:rsid w:val="00A77700"/>
    <w:rsid w:val="00C87113"/>
    <w:rsid w:val="0B2C4B54"/>
    <w:rsid w:val="0DFC18FF"/>
    <w:rsid w:val="11C15A98"/>
    <w:rsid w:val="128D6FC9"/>
    <w:rsid w:val="1A815666"/>
    <w:rsid w:val="1CB32D92"/>
    <w:rsid w:val="1DC3024E"/>
    <w:rsid w:val="1EAB042A"/>
    <w:rsid w:val="2B2F6A18"/>
    <w:rsid w:val="2D46629B"/>
    <w:rsid w:val="37173543"/>
    <w:rsid w:val="373A483C"/>
    <w:rsid w:val="392D16FC"/>
    <w:rsid w:val="3E2E0DB1"/>
    <w:rsid w:val="3FF76880"/>
    <w:rsid w:val="42325179"/>
    <w:rsid w:val="45BB491C"/>
    <w:rsid w:val="4EA04859"/>
    <w:rsid w:val="507C461C"/>
    <w:rsid w:val="56E52C81"/>
    <w:rsid w:val="59A71F8F"/>
    <w:rsid w:val="60484D9E"/>
    <w:rsid w:val="657050D7"/>
    <w:rsid w:val="739C1D3D"/>
    <w:rsid w:val="7AB7FF50"/>
    <w:rsid w:val="7BFEB0DB"/>
    <w:rsid w:val="7EED34D3"/>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footer"/>
    <w:basedOn w:val="1"/>
    <w:autoRedefine/>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annotation reference"/>
    <w:basedOn w:val="7"/>
    <w:autoRedefine/>
    <w:qFormat/>
    <w:uiPriority w:val="0"/>
    <w:rPr>
      <w:sz w:val="21"/>
      <w:szCs w:val="21"/>
    </w:rPr>
  </w:style>
  <w:style w:type="paragraph" w:customStyle="1" w:styleId="9">
    <w:name w:val="列出段落1"/>
    <w:basedOn w:val="1"/>
    <w:autoRedefine/>
    <w:qFormat/>
    <w:uiPriority w:val="34"/>
    <w:pPr>
      <w:ind w:firstLine="420" w:firstLineChars="200"/>
    </w:pPr>
    <w:rPr>
      <w:rFonts w:ascii="Calibri" w:hAnsi="Calibri" w:cs="黑体"/>
      <w:szCs w:val="22"/>
    </w:rPr>
  </w:style>
  <w:style w:type="character" w:customStyle="1" w:styleId="10">
    <w:name w:val="font21"/>
    <w:basedOn w:val="7"/>
    <w:autoRedefine/>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228</Words>
  <Characters>1303</Characters>
  <Lines>10</Lines>
  <Paragraphs>3</Paragraphs>
  <TotalTime>62</TotalTime>
  <ScaleCrop>false</ScaleCrop>
  <LinksUpToDate>false</LinksUpToDate>
  <CharactersWithSpaces>1528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随遇♛侕安</cp:lastModifiedBy>
  <cp:lastPrinted>2022-03-24T10:01:00Z</cp:lastPrinted>
  <dcterms:modified xsi:type="dcterms:W3CDTF">2024-05-09T08:29:22Z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32A252A19C4E4C61A346478C3E7E87BA_13</vt:lpwstr>
  </property>
</Properties>
</file>